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CD86" w14:textId="1E3FF9C5" w:rsidR="00A94408" w:rsidRPr="00B266B0" w:rsidRDefault="00A94408" w:rsidP="00A94408">
      <w:pPr>
        <w:pStyle w:val="Header"/>
        <w:tabs>
          <w:tab w:val="right" w:pos="9639"/>
        </w:tabs>
        <w:rPr>
          <w:bCs/>
          <w:i/>
          <w:sz w:val="24"/>
          <w:szCs w:val="24"/>
        </w:rPr>
      </w:pPr>
      <w:r w:rsidRPr="003A41EF">
        <w:rPr>
          <w:bCs/>
          <w:sz w:val="24"/>
          <w:szCs w:val="24"/>
        </w:rPr>
        <w:t xml:space="preserve">3GPP TSG-RAN WG2 Meeting </w:t>
      </w:r>
      <w:r w:rsidR="00C42D7A">
        <w:rPr>
          <w:bCs/>
          <w:sz w:val="24"/>
          <w:szCs w:val="24"/>
        </w:rPr>
        <w:t>#12</w:t>
      </w:r>
      <w:r w:rsidR="009D1F8C">
        <w:rPr>
          <w:bCs/>
          <w:sz w:val="24"/>
          <w:szCs w:val="24"/>
        </w:rPr>
        <w:t>3</w:t>
      </w:r>
      <w:r w:rsidRPr="00B266B0">
        <w:rPr>
          <w:bCs/>
          <w:sz w:val="24"/>
          <w:szCs w:val="24"/>
        </w:rPr>
        <w:tab/>
      </w:r>
      <w:r w:rsidR="008A3E87" w:rsidRPr="008A3E87">
        <w:rPr>
          <w:bCs/>
          <w:sz w:val="24"/>
          <w:szCs w:val="24"/>
        </w:rPr>
        <w:t>R2-2308356</w:t>
      </w:r>
      <w:bookmarkStart w:id="0" w:name="_GoBack"/>
      <w:bookmarkEnd w:id="0"/>
    </w:p>
    <w:p w14:paraId="7A354486" w14:textId="68730D82" w:rsidR="00A94408" w:rsidRPr="00465587" w:rsidRDefault="009D1F8C" w:rsidP="00A94408">
      <w:pPr>
        <w:pStyle w:val="Header"/>
        <w:tabs>
          <w:tab w:val="right" w:pos="9639"/>
        </w:tabs>
        <w:rPr>
          <w:bCs/>
          <w:sz w:val="24"/>
          <w:szCs w:val="24"/>
          <w:lang w:eastAsia="zh-CN"/>
        </w:rPr>
      </w:pPr>
      <w:r>
        <w:rPr>
          <w:bCs/>
          <w:sz w:val="24"/>
          <w:szCs w:val="24"/>
          <w:lang w:eastAsia="zh-CN"/>
        </w:rPr>
        <w:t>Toulouse</w:t>
      </w:r>
      <w:r w:rsidR="007C7097">
        <w:rPr>
          <w:bCs/>
          <w:sz w:val="24"/>
          <w:szCs w:val="24"/>
          <w:lang w:eastAsia="zh-CN"/>
        </w:rPr>
        <w:t xml:space="preserve">, </w:t>
      </w:r>
      <w:r>
        <w:rPr>
          <w:bCs/>
          <w:sz w:val="24"/>
          <w:szCs w:val="24"/>
          <w:lang w:eastAsia="zh-CN"/>
        </w:rPr>
        <w:t>France</w:t>
      </w:r>
      <w:r w:rsidR="007C7097">
        <w:rPr>
          <w:bCs/>
          <w:sz w:val="24"/>
          <w:szCs w:val="24"/>
          <w:lang w:eastAsia="zh-CN"/>
        </w:rPr>
        <w:t xml:space="preserve">, </w:t>
      </w:r>
      <w:r>
        <w:rPr>
          <w:bCs/>
          <w:sz w:val="24"/>
          <w:szCs w:val="24"/>
          <w:lang w:eastAsia="zh-CN"/>
        </w:rPr>
        <w:t>21</w:t>
      </w:r>
      <w:r w:rsidR="007C7097">
        <w:rPr>
          <w:bCs/>
          <w:sz w:val="24"/>
          <w:szCs w:val="24"/>
          <w:lang w:eastAsia="zh-CN"/>
        </w:rPr>
        <w:t xml:space="preserve"> – 2</w:t>
      </w:r>
      <w:r>
        <w:rPr>
          <w:bCs/>
          <w:sz w:val="24"/>
          <w:szCs w:val="24"/>
          <w:lang w:eastAsia="zh-CN"/>
        </w:rPr>
        <w:t>5</w:t>
      </w:r>
      <w:r w:rsidR="007C7097">
        <w:rPr>
          <w:bCs/>
          <w:sz w:val="24"/>
          <w:szCs w:val="24"/>
          <w:lang w:eastAsia="zh-CN"/>
        </w:rPr>
        <w:t xml:space="preserve"> </w:t>
      </w:r>
      <w:r>
        <w:rPr>
          <w:bCs/>
          <w:sz w:val="24"/>
          <w:szCs w:val="24"/>
          <w:lang w:eastAsia="zh-CN"/>
        </w:rPr>
        <w:t>August</w:t>
      </w:r>
      <w:r w:rsidR="0005054B" w:rsidRPr="0005054B">
        <w:rPr>
          <w:bCs/>
          <w:sz w:val="24"/>
          <w:szCs w:val="24"/>
          <w:lang w:eastAsia="zh-CN"/>
        </w:rPr>
        <w:t xml:space="preserve"> 2023</w:t>
      </w:r>
      <w:r w:rsidR="00A94408">
        <w:rPr>
          <w:sz w:val="24"/>
          <w:szCs w:val="24"/>
          <w:lang w:eastAsia="zh-CN"/>
        </w:rPr>
        <w:tab/>
      </w:r>
    </w:p>
    <w:p w14:paraId="6892C762" w14:textId="77777777" w:rsidR="00A94408" w:rsidRPr="00B266B0" w:rsidRDefault="00A94408" w:rsidP="00A94408">
      <w:pPr>
        <w:pStyle w:val="Header"/>
        <w:rPr>
          <w:bCs/>
          <w:sz w:val="24"/>
        </w:rPr>
      </w:pPr>
    </w:p>
    <w:p w14:paraId="61F7DA6F" w14:textId="63D5384A" w:rsidR="00A94408" w:rsidRPr="00212C18" w:rsidRDefault="00A94408" w:rsidP="00A94408">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3F4191" w:rsidRPr="003F4191">
        <w:rPr>
          <w:rFonts w:cs="Arial"/>
          <w:b/>
          <w:bCs/>
          <w:sz w:val="24"/>
          <w:lang w:eastAsia="ja-JP"/>
        </w:rPr>
        <w:t>7.14.</w:t>
      </w:r>
      <w:r w:rsidR="00391A81">
        <w:rPr>
          <w:rFonts w:cs="Arial"/>
          <w:b/>
          <w:bCs/>
          <w:sz w:val="24"/>
          <w:lang w:eastAsia="ja-JP"/>
        </w:rPr>
        <w:t>3</w:t>
      </w:r>
    </w:p>
    <w:p w14:paraId="7C83BA60" w14:textId="77777777" w:rsidR="00A94408" w:rsidRPr="00212C18" w:rsidRDefault="00A94408" w:rsidP="00A94408">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Pr>
          <w:rFonts w:ascii="Arial" w:hAnsi="Arial" w:cs="Arial"/>
          <w:b/>
          <w:bCs/>
          <w:sz w:val="24"/>
        </w:rPr>
        <w:t>Huawei, HiSilicon</w:t>
      </w:r>
    </w:p>
    <w:p w14:paraId="6491DDD9" w14:textId="4D287252" w:rsidR="00A94408" w:rsidRPr="00212C18" w:rsidRDefault="00A94408" w:rsidP="00A94408">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391A81" w:rsidRPr="00391A81">
        <w:rPr>
          <w:rFonts w:ascii="Arial" w:hAnsi="Arial" w:cs="Arial"/>
          <w:b/>
          <w:bCs/>
          <w:sz w:val="24"/>
        </w:rPr>
        <w:t xml:space="preserve">Discussion on </w:t>
      </w:r>
      <w:r w:rsidR="00BD0799">
        <w:rPr>
          <w:rFonts w:ascii="Arial" w:hAnsi="Arial" w:cs="Arial"/>
          <w:b/>
          <w:bCs/>
          <w:sz w:val="24"/>
        </w:rPr>
        <w:t xml:space="preserve">Rel-17 left-over </w:t>
      </w:r>
      <w:r w:rsidR="00BA3DB9">
        <w:rPr>
          <w:rFonts w:ascii="Arial" w:hAnsi="Arial" w:cs="Arial"/>
          <w:b/>
          <w:bCs/>
          <w:sz w:val="24"/>
        </w:rPr>
        <w:t>issues</w:t>
      </w:r>
    </w:p>
    <w:p w14:paraId="2ADA5AE5" w14:textId="005DCAFC" w:rsidR="00A94408" w:rsidRDefault="00A94408" w:rsidP="00A94408">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13BB4A86" w14:textId="77777777" w:rsidR="00120B28" w:rsidRDefault="002364EE">
      <w:pPr>
        <w:pStyle w:val="Heading1"/>
      </w:pPr>
      <w:r>
        <w:t>Introduction</w:t>
      </w:r>
      <w:bookmarkStart w:id="1" w:name="Proposal_Pattern_Length"/>
    </w:p>
    <w:p w14:paraId="608366B5" w14:textId="77777777" w:rsidR="00A01815" w:rsidRDefault="00345218" w:rsidP="00E059A2">
      <w:pPr>
        <w:spacing w:after="0"/>
        <w:rPr>
          <w:lang w:eastAsia="zh-CN"/>
        </w:rPr>
      </w:pPr>
      <w:r>
        <w:rPr>
          <w:rFonts w:hint="eastAsia"/>
          <w:lang w:eastAsia="zh-CN"/>
        </w:rPr>
        <w:t>I</w:t>
      </w:r>
      <w:r>
        <w:rPr>
          <w:lang w:eastAsia="zh-CN"/>
        </w:rPr>
        <w:t xml:space="preserve">n this paper, we discuss </w:t>
      </w:r>
      <w:r w:rsidR="00A01815">
        <w:rPr>
          <w:lang w:eastAsia="zh-CN"/>
        </w:rPr>
        <w:t>two issues which are seen as left-overs from Rel-17:</w:t>
      </w:r>
    </w:p>
    <w:p w14:paraId="49A2B63E" w14:textId="0909EF5A" w:rsidR="00345218" w:rsidRPr="00A01815" w:rsidRDefault="00A01815" w:rsidP="00A01815">
      <w:pPr>
        <w:pStyle w:val="ListParagraph"/>
        <w:numPr>
          <w:ilvl w:val="0"/>
          <w:numId w:val="22"/>
        </w:numPr>
        <w:spacing w:after="0"/>
        <w:rPr>
          <w:sz w:val="20"/>
        </w:rPr>
      </w:pPr>
      <w:r w:rsidRPr="00A01815">
        <w:rPr>
          <w:sz w:val="20"/>
          <w:lang w:val="en-US"/>
        </w:rPr>
        <w:t>T</w:t>
      </w:r>
      <w:r w:rsidR="00345218" w:rsidRPr="00A01815">
        <w:rPr>
          <w:sz w:val="20"/>
        </w:rPr>
        <w:t>hreshold based RAN visible QoE reporting</w:t>
      </w:r>
    </w:p>
    <w:p w14:paraId="7C3D6834" w14:textId="5786B483" w:rsidR="00A01815" w:rsidRPr="00A01815" w:rsidRDefault="00A01815" w:rsidP="00A01815">
      <w:pPr>
        <w:pStyle w:val="ListParagraph"/>
        <w:numPr>
          <w:ilvl w:val="0"/>
          <w:numId w:val="22"/>
        </w:numPr>
        <w:spacing w:after="0"/>
        <w:rPr>
          <w:sz w:val="20"/>
        </w:rPr>
      </w:pPr>
      <w:r w:rsidRPr="00A01815">
        <w:rPr>
          <w:sz w:val="20"/>
          <w:lang w:val="en-US"/>
        </w:rPr>
        <w:t>RAN overload handling enhancements</w:t>
      </w:r>
    </w:p>
    <w:p w14:paraId="4F5D555C" w14:textId="77777777" w:rsidR="00BF36A3" w:rsidRPr="00BF36A3" w:rsidRDefault="00BF36A3" w:rsidP="00E059A2">
      <w:pPr>
        <w:spacing w:after="0"/>
        <w:rPr>
          <w:lang w:eastAsia="zh-CN"/>
        </w:rPr>
      </w:pPr>
    </w:p>
    <w:p w14:paraId="56A5242E" w14:textId="5478EA16" w:rsidR="00120B28" w:rsidRDefault="00101ADB">
      <w:pPr>
        <w:pStyle w:val="Heading1"/>
      </w:pPr>
      <w:r>
        <w:t>Threshold based RAN visible QoE reporting</w:t>
      </w:r>
      <w:bookmarkStart w:id="2" w:name="_Toc462880706"/>
      <w:bookmarkStart w:id="3" w:name="_Toc463066102"/>
      <w:bookmarkStart w:id="4" w:name="_Toc462960524"/>
      <w:bookmarkStart w:id="5" w:name="_Toc462957202"/>
    </w:p>
    <w:p w14:paraId="00ADCB04" w14:textId="412D5163" w:rsidR="00847605" w:rsidRDefault="00847605" w:rsidP="00847605">
      <w:pPr>
        <w:pStyle w:val="Proposal"/>
        <w:rPr>
          <w:rFonts w:eastAsiaTheme="minorEastAsia"/>
          <w:b/>
        </w:rPr>
      </w:pPr>
      <w:bookmarkStart w:id="6" w:name="_Hlk47445522"/>
      <w:bookmarkEnd w:id="2"/>
      <w:bookmarkEnd w:id="3"/>
      <w:bookmarkEnd w:id="4"/>
      <w:bookmarkEnd w:id="5"/>
      <w:r>
        <w:rPr>
          <w:rFonts w:eastAsiaTheme="minorEastAsia"/>
        </w:rPr>
        <w:t>RAN3 made the following agreements related to threshold based RVQoE topic which have relevance for RAN2:</w:t>
      </w:r>
    </w:p>
    <w:tbl>
      <w:tblPr>
        <w:tblStyle w:val="TableGrid"/>
        <w:tblW w:w="0" w:type="auto"/>
        <w:tblLook w:val="04A0" w:firstRow="1" w:lastRow="0" w:firstColumn="1" w:lastColumn="0" w:noHBand="0" w:noVBand="1"/>
      </w:tblPr>
      <w:tblGrid>
        <w:gridCol w:w="9350"/>
      </w:tblGrid>
      <w:tr w:rsidR="00847605" w14:paraId="48970B17" w14:textId="77777777" w:rsidTr="007F74D1">
        <w:tc>
          <w:tcPr>
            <w:tcW w:w="9631" w:type="dxa"/>
          </w:tcPr>
          <w:p w14:paraId="2652197E" w14:textId="77777777" w:rsidR="00847605" w:rsidRPr="00FA56B1" w:rsidRDefault="00847605" w:rsidP="007F74D1">
            <w:pPr>
              <w:rPr>
                <w:rFonts w:ascii="Calibri" w:hAnsi="Calibri" w:cs="Calibri"/>
                <w:bCs/>
                <w:sz w:val="18"/>
                <w:szCs w:val="24"/>
                <w:lang w:eastAsia="zh-CN"/>
              </w:rPr>
            </w:pPr>
            <w:r w:rsidRPr="00FA56B1">
              <w:rPr>
                <w:rFonts w:ascii="Calibri" w:hAnsi="Calibri" w:cs="Calibri"/>
                <w:bCs/>
                <w:sz w:val="18"/>
                <w:szCs w:val="24"/>
                <w:lang w:eastAsia="zh-CN"/>
              </w:rPr>
              <w:t>In RAN3#1</w:t>
            </w:r>
            <w:r>
              <w:rPr>
                <w:rFonts w:ascii="Calibri" w:hAnsi="Calibri" w:cs="Calibri"/>
                <w:bCs/>
                <w:sz w:val="18"/>
                <w:szCs w:val="24"/>
                <w:lang w:eastAsia="zh-CN"/>
              </w:rPr>
              <w:t>19bis</w:t>
            </w:r>
            <w:r w:rsidRPr="00FA56B1">
              <w:rPr>
                <w:rFonts w:ascii="Calibri" w:hAnsi="Calibri" w:cs="Calibri"/>
                <w:bCs/>
                <w:sz w:val="18"/>
                <w:szCs w:val="24"/>
                <w:lang w:eastAsia="zh-CN"/>
              </w:rPr>
              <w:t>:</w:t>
            </w:r>
          </w:p>
          <w:p w14:paraId="36A8C3BA" w14:textId="77777777" w:rsidR="00847605" w:rsidRPr="00B96D36" w:rsidRDefault="00847605" w:rsidP="007F74D1">
            <w:pPr>
              <w:rPr>
                <w:rFonts w:ascii="Calibri" w:hAnsi="Calibri" w:cs="Calibri"/>
                <w:bCs/>
                <w:color w:val="00B050"/>
                <w:sz w:val="18"/>
                <w:szCs w:val="24"/>
                <w:lang w:eastAsia="zh-CN"/>
              </w:rPr>
            </w:pPr>
            <w:r>
              <w:rPr>
                <w:rFonts w:ascii="Calibri" w:hAnsi="Calibri" w:cs="Calibri"/>
                <w:bCs/>
                <w:color w:val="00B050"/>
                <w:sz w:val="18"/>
                <w:szCs w:val="24"/>
                <w:lang w:eastAsia="zh-CN"/>
              </w:rPr>
              <w:t>R</w:t>
            </w:r>
            <w:r w:rsidRPr="00B96D36">
              <w:rPr>
                <w:rFonts w:ascii="Calibri" w:hAnsi="Calibri" w:cs="Calibri"/>
                <w:bCs/>
                <w:color w:val="00B050"/>
                <w:sz w:val="18"/>
                <w:szCs w:val="24"/>
                <w:lang w:eastAsia="zh-CN"/>
              </w:rPr>
              <w:t>AN3 should discuss how the UE should send the RVQoE reports after the threshold is met, e.g., the following options:</w:t>
            </w:r>
          </w:p>
          <w:p w14:paraId="03698A75" w14:textId="77777777" w:rsidR="00847605" w:rsidRPr="00B96D36" w:rsidRDefault="00847605" w:rsidP="007F74D1">
            <w:pPr>
              <w:ind w:left="284"/>
              <w:rPr>
                <w:rFonts w:ascii="Calibri" w:hAnsi="Calibri" w:cs="Calibri"/>
                <w:bCs/>
                <w:color w:val="00B050"/>
                <w:sz w:val="18"/>
                <w:szCs w:val="24"/>
                <w:lang w:eastAsia="zh-CN"/>
              </w:rPr>
            </w:pPr>
            <w:r w:rsidRPr="00B96D36">
              <w:rPr>
                <w:rFonts w:ascii="Calibri" w:hAnsi="Calibri" w:cs="Calibri"/>
                <w:bCs/>
                <w:color w:val="00B050"/>
                <w:sz w:val="18"/>
                <w:szCs w:val="24"/>
                <w:lang w:eastAsia="zh-CN"/>
              </w:rPr>
              <w:t>a.</w:t>
            </w:r>
            <w:r w:rsidRPr="00B96D36">
              <w:rPr>
                <w:rFonts w:ascii="Calibri" w:hAnsi="Calibri" w:cs="Calibri"/>
                <w:bCs/>
                <w:color w:val="00B050"/>
                <w:sz w:val="18"/>
                <w:szCs w:val="24"/>
                <w:lang w:eastAsia="zh-CN"/>
              </w:rPr>
              <w:tab/>
              <w:t>Option 1: Just once (after receiving this RVQoE report, gNB might reconfigure this threshold value to get additional reports)</w:t>
            </w:r>
          </w:p>
          <w:p w14:paraId="02F15810" w14:textId="77777777" w:rsidR="00847605" w:rsidRPr="00B96D36" w:rsidRDefault="00847605" w:rsidP="007F74D1">
            <w:pPr>
              <w:ind w:left="284"/>
              <w:rPr>
                <w:rFonts w:ascii="Calibri" w:hAnsi="Calibri" w:cs="Calibri"/>
                <w:bCs/>
                <w:color w:val="00B050"/>
                <w:sz w:val="18"/>
                <w:szCs w:val="24"/>
                <w:lang w:eastAsia="zh-CN"/>
              </w:rPr>
            </w:pPr>
            <w:r w:rsidRPr="00B96D36">
              <w:rPr>
                <w:rFonts w:ascii="Calibri" w:hAnsi="Calibri" w:cs="Calibri"/>
                <w:bCs/>
                <w:color w:val="00B050"/>
                <w:sz w:val="18"/>
                <w:szCs w:val="24"/>
                <w:lang w:eastAsia="zh-CN"/>
              </w:rPr>
              <w:t>b.</w:t>
            </w:r>
            <w:r w:rsidRPr="00B96D36">
              <w:rPr>
                <w:rFonts w:ascii="Calibri" w:hAnsi="Calibri" w:cs="Calibri"/>
                <w:bCs/>
                <w:color w:val="00B050"/>
                <w:sz w:val="18"/>
                <w:szCs w:val="24"/>
                <w:lang w:eastAsia="zh-CN"/>
              </w:rPr>
              <w:tab/>
              <w:t>Option 2: Periodically based on a gNB configured reporting periodicity</w:t>
            </w:r>
          </w:p>
          <w:p w14:paraId="7FCC2212" w14:textId="77777777" w:rsidR="00847605" w:rsidRDefault="00847605" w:rsidP="007F74D1">
            <w:pPr>
              <w:ind w:left="284"/>
              <w:rPr>
                <w:rFonts w:ascii="Calibri" w:hAnsi="Calibri" w:cs="Calibri"/>
                <w:bCs/>
                <w:color w:val="00B050"/>
                <w:sz w:val="18"/>
                <w:szCs w:val="24"/>
                <w:lang w:eastAsia="zh-CN"/>
              </w:rPr>
            </w:pPr>
            <w:r w:rsidRPr="00B96D36">
              <w:rPr>
                <w:rFonts w:ascii="Calibri" w:hAnsi="Calibri" w:cs="Calibri"/>
                <w:bCs/>
                <w:color w:val="00B050"/>
                <w:sz w:val="18"/>
                <w:szCs w:val="24"/>
                <w:lang w:eastAsia="zh-CN"/>
              </w:rPr>
              <w:t>c.</w:t>
            </w:r>
            <w:r w:rsidRPr="00B96D36">
              <w:rPr>
                <w:rFonts w:ascii="Calibri" w:hAnsi="Calibri" w:cs="Calibri"/>
                <w:bCs/>
                <w:color w:val="00B050"/>
                <w:sz w:val="18"/>
                <w:szCs w:val="24"/>
                <w:lang w:eastAsia="zh-CN"/>
              </w:rPr>
              <w:tab/>
              <w:t>Option 3: A certain number of times based on gNB configured report amount</w:t>
            </w:r>
          </w:p>
          <w:p w14:paraId="5543F896" w14:textId="77777777" w:rsidR="00847605" w:rsidRDefault="00847605" w:rsidP="007F74D1">
            <w:pPr>
              <w:rPr>
                <w:rFonts w:ascii="Calibri" w:hAnsi="Calibri" w:cs="Calibri"/>
                <w:bCs/>
                <w:color w:val="00B050"/>
                <w:sz w:val="18"/>
                <w:szCs w:val="24"/>
                <w:lang w:eastAsia="zh-CN"/>
              </w:rPr>
            </w:pPr>
          </w:p>
          <w:p w14:paraId="2BA48090" w14:textId="77777777" w:rsidR="00847605" w:rsidRPr="00FA56B1" w:rsidRDefault="00847605" w:rsidP="007F74D1">
            <w:pPr>
              <w:rPr>
                <w:rFonts w:ascii="Calibri" w:hAnsi="Calibri" w:cs="Calibri"/>
                <w:bCs/>
                <w:sz w:val="18"/>
                <w:szCs w:val="24"/>
                <w:lang w:eastAsia="zh-CN"/>
              </w:rPr>
            </w:pPr>
            <w:r w:rsidRPr="00FA56B1">
              <w:rPr>
                <w:rFonts w:ascii="Calibri" w:hAnsi="Calibri" w:cs="Calibri"/>
                <w:bCs/>
                <w:sz w:val="18"/>
                <w:szCs w:val="24"/>
                <w:lang w:eastAsia="zh-CN"/>
              </w:rPr>
              <w:t>In RAN3#120:</w:t>
            </w:r>
          </w:p>
          <w:p w14:paraId="60E4E7A2" w14:textId="77777777" w:rsidR="00847605" w:rsidRPr="00C71B27" w:rsidRDefault="00847605" w:rsidP="007F74D1">
            <w:pPr>
              <w:rPr>
                <w:rFonts w:ascii="Calibri" w:hAnsi="Calibri" w:cs="Calibri"/>
                <w:bCs/>
                <w:color w:val="00B050"/>
                <w:sz w:val="18"/>
                <w:szCs w:val="24"/>
                <w:lang w:eastAsia="zh-CN"/>
              </w:rPr>
            </w:pPr>
            <w:r w:rsidRPr="00FA56B1">
              <w:rPr>
                <w:rFonts w:ascii="Calibri" w:hAnsi="Calibri" w:cs="Calibri"/>
                <w:bCs/>
                <w:color w:val="00B050"/>
                <w:sz w:val="18"/>
                <w:szCs w:val="24"/>
                <w:lang w:eastAsia="zh-CN"/>
              </w:rPr>
              <w:t>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tc>
      </w:tr>
    </w:tbl>
    <w:p w14:paraId="4468B9D4" w14:textId="77777777" w:rsidR="00847605" w:rsidRPr="00847605" w:rsidRDefault="00847605" w:rsidP="000A3447">
      <w:pPr>
        <w:pStyle w:val="Proposal"/>
        <w:rPr>
          <w:rFonts w:eastAsiaTheme="minorEastAsia"/>
          <w:lang w:val="en-US"/>
        </w:rPr>
      </w:pPr>
    </w:p>
    <w:p w14:paraId="430EEDB0" w14:textId="3F65C64B" w:rsidR="00C25DBE" w:rsidRDefault="00C25DBE" w:rsidP="000A3447">
      <w:pPr>
        <w:pStyle w:val="Proposal"/>
        <w:rPr>
          <w:rFonts w:eastAsiaTheme="minorEastAsia"/>
        </w:rPr>
      </w:pPr>
      <w:r>
        <w:rPr>
          <w:rFonts w:eastAsiaTheme="minorEastAsia"/>
        </w:rPr>
        <w:t xml:space="preserve">RAN2 </w:t>
      </w:r>
      <w:r w:rsidR="00847605">
        <w:rPr>
          <w:rFonts w:eastAsiaTheme="minorEastAsia"/>
        </w:rPr>
        <w:t xml:space="preserve">on the other hand </w:t>
      </w:r>
      <w:r>
        <w:rPr>
          <w:rFonts w:eastAsiaTheme="minorEastAsia"/>
        </w:rPr>
        <w:t>made the following agreements during RAN2#122 meeting:</w:t>
      </w:r>
    </w:p>
    <w:tbl>
      <w:tblPr>
        <w:tblStyle w:val="TableGrid"/>
        <w:tblW w:w="0" w:type="auto"/>
        <w:tblLook w:val="04A0" w:firstRow="1" w:lastRow="0" w:firstColumn="1" w:lastColumn="0" w:noHBand="0" w:noVBand="1"/>
      </w:tblPr>
      <w:tblGrid>
        <w:gridCol w:w="9350"/>
      </w:tblGrid>
      <w:tr w:rsidR="00C25DBE" w14:paraId="27FA6755" w14:textId="77777777" w:rsidTr="00C25DBE">
        <w:tc>
          <w:tcPr>
            <w:tcW w:w="9350" w:type="dxa"/>
          </w:tcPr>
          <w:p w14:paraId="5E021CEA" w14:textId="77777777" w:rsidR="00C25DBE" w:rsidRPr="00C25DBE" w:rsidRDefault="00C25DBE" w:rsidP="00C25DBE">
            <w:pPr>
              <w:numPr>
                <w:ilvl w:val="0"/>
                <w:numId w:val="23"/>
              </w:numPr>
              <w:overflowPunct/>
              <w:autoSpaceDE/>
              <w:autoSpaceDN/>
              <w:adjustRightInd/>
              <w:spacing w:after="160"/>
              <w:ind w:left="540"/>
              <w:textAlignment w:val="center"/>
              <w:rPr>
                <w:rFonts w:ascii="Calibri" w:eastAsia="Times New Roman" w:hAnsi="Calibri" w:cs="Calibri"/>
                <w:sz w:val="22"/>
                <w:szCs w:val="22"/>
              </w:rPr>
            </w:pPr>
            <w:r w:rsidRPr="00C25DBE">
              <w:rPr>
                <w:rFonts w:ascii="Calibri" w:eastAsia="Times New Roman" w:hAnsi="Calibri" w:cs="Calibri"/>
                <w:sz w:val="21"/>
                <w:szCs w:val="21"/>
              </w:rPr>
              <w:t>RAN2 confirms that buffer level threshold-based triggering of RVQoE reporting is triggered by application layer.</w:t>
            </w:r>
          </w:p>
          <w:p w14:paraId="608D4E1C" w14:textId="3D2A637B" w:rsidR="00C25DBE" w:rsidRPr="00C25DBE" w:rsidRDefault="00C25DBE" w:rsidP="000A3447">
            <w:pPr>
              <w:numPr>
                <w:ilvl w:val="0"/>
                <w:numId w:val="23"/>
              </w:numPr>
              <w:overflowPunct/>
              <w:autoSpaceDE/>
              <w:autoSpaceDN/>
              <w:adjustRightInd/>
              <w:spacing w:after="160"/>
              <w:ind w:left="540"/>
              <w:textAlignment w:val="center"/>
              <w:rPr>
                <w:rFonts w:ascii="Calibri" w:eastAsia="Times New Roman" w:hAnsi="Calibri" w:cs="Calibri"/>
                <w:sz w:val="22"/>
                <w:szCs w:val="22"/>
              </w:rPr>
            </w:pPr>
            <w:r w:rsidRPr="00C25DBE">
              <w:rPr>
                <w:rFonts w:ascii="Calibri" w:eastAsia="Times New Roman" w:hAnsi="Calibri" w:cs="Calibri"/>
                <w:sz w:val="21"/>
                <w:szCs w:val="21"/>
              </w:rPr>
              <w:t>RAN2 waits for RAN3’s conclusion on the buffer level threshold-based RVQoE reporting.</w:t>
            </w:r>
          </w:p>
        </w:tc>
      </w:tr>
    </w:tbl>
    <w:p w14:paraId="6D28FE55" w14:textId="3E74F2E1" w:rsidR="00C25DBE" w:rsidRDefault="00C25DBE" w:rsidP="000A3447">
      <w:pPr>
        <w:pStyle w:val="Proposal"/>
        <w:rPr>
          <w:rFonts w:eastAsiaTheme="minorEastAsia"/>
        </w:rPr>
      </w:pPr>
    </w:p>
    <w:p w14:paraId="27966E18" w14:textId="0E60B921" w:rsidR="00847605" w:rsidRDefault="00847605" w:rsidP="000A3447">
      <w:pPr>
        <w:pStyle w:val="Proposal"/>
        <w:rPr>
          <w:rFonts w:eastAsiaTheme="minorEastAsia"/>
        </w:rPr>
      </w:pPr>
      <w:r>
        <w:rPr>
          <w:rFonts w:eastAsiaTheme="minorEastAsia"/>
        </w:rPr>
        <w:t>The first RAN2 agreement just confirmed a previous assumption which was made by RAN2 based on SA4 reply LS in [</w:t>
      </w:r>
      <w:r w:rsidR="0010229A">
        <w:rPr>
          <w:rFonts w:eastAsiaTheme="minorEastAsia"/>
        </w:rPr>
        <w:t>1</w:t>
      </w:r>
      <w:r>
        <w:rPr>
          <w:rFonts w:eastAsiaTheme="minorEastAsia"/>
        </w:rPr>
        <w:t>]</w:t>
      </w:r>
      <w:r w:rsidR="00364276">
        <w:rPr>
          <w:rFonts w:eastAsiaTheme="minorEastAsia"/>
        </w:rPr>
        <w:t>. However, it should be noted that SA4 had further discussions on buffer level based QoE triggering and has reached a conclusion that such mechanism is not feasible</w:t>
      </w:r>
      <w:r w:rsidR="00D952F9">
        <w:rPr>
          <w:rFonts w:eastAsiaTheme="minorEastAsia"/>
        </w:rPr>
        <w:t>, as can be seen in the latest SA4 LS in [2]:</w:t>
      </w:r>
    </w:p>
    <w:tbl>
      <w:tblPr>
        <w:tblStyle w:val="TableGrid"/>
        <w:tblW w:w="0" w:type="auto"/>
        <w:tblLook w:val="04A0" w:firstRow="1" w:lastRow="0" w:firstColumn="1" w:lastColumn="0" w:noHBand="0" w:noVBand="1"/>
      </w:tblPr>
      <w:tblGrid>
        <w:gridCol w:w="9350"/>
      </w:tblGrid>
      <w:tr w:rsidR="00D952F9" w14:paraId="198F7AB9" w14:textId="77777777" w:rsidTr="00D952F9">
        <w:tc>
          <w:tcPr>
            <w:tcW w:w="9350" w:type="dxa"/>
          </w:tcPr>
          <w:p w14:paraId="1D57D2BC" w14:textId="77777777" w:rsidR="00D952F9" w:rsidRPr="00995810" w:rsidRDefault="00D952F9" w:rsidP="00D952F9">
            <w:pPr>
              <w:rPr>
                <w:lang w:eastAsia="zh-CN"/>
              </w:rPr>
            </w:pPr>
            <w:r w:rsidRPr="00995810">
              <w:rPr>
                <w:lang w:eastAsia="zh-CN"/>
              </w:rPr>
              <w:lastRenderedPageBreak/>
              <w:t xml:space="preserve">However, in SA4#124 meeting, SA4 has </w:t>
            </w:r>
            <w:r>
              <w:rPr>
                <w:lang w:eastAsia="zh-CN"/>
              </w:rPr>
              <w:t xml:space="preserve">further </w:t>
            </w:r>
            <w:r w:rsidRPr="00995810">
              <w:rPr>
                <w:lang w:eastAsia="zh-CN"/>
              </w:rPr>
              <w:t xml:space="preserve">discussed </w:t>
            </w:r>
            <w:r>
              <w:rPr>
                <w:lang w:eastAsia="zh-CN"/>
              </w:rPr>
              <w:t xml:space="preserve">this problem and came to an understanding </w:t>
            </w:r>
            <w:r w:rsidRPr="00995810">
              <w:rPr>
                <w:lang w:eastAsia="zh-CN"/>
              </w:rPr>
              <w:t xml:space="preserve">that </w:t>
            </w:r>
            <w:r w:rsidRPr="00D952F9">
              <w:rPr>
                <w:highlight w:val="yellow"/>
                <w:lang w:eastAsia="zh-CN"/>
              </w:rPr>
              <w:t>buffer level on its own is not an appropriate information for RAN to be able to assist the application due to a variety of reasons</w:t>
            </w:r>
            <w:r w:rsidRPr="00995810">
              <w:rPr>
                <w:lang w:eastAsia="zh-CN"/>
              </w:rPr>
              <w:t>, e.g.</w:t>
            </w:r>
          </w:p>
          <w:p w14:paraId="4D3C3529" w14:textId="77777777" w:rsidR="00D952F9" w:rsidRPr="00995810" w:rsidRDefault="00D952F9" w:rsidP="00D952F9">
            <w:pPr>
              <w:pStyle w:val="ListParagraph"/>
              <w:numPr>
                <w:ilvl w:val="0"/>
                <w:numId w:val="24"/>
              </w:numPr>
              <w:overflowPunct/>
              <w:autoSpaceDE/>
              <w:autoSpaceDN/>
              <w:adjustRightInd/>
              <w:spacing w:after="0"/>
              <w:rPr>
                <w:iCs/>
              </w:rPr>
            </w:pPr>
            <w:r w:rsidRPr="00995810">
              <w:rPr>
                <w:iCs/>
              </w:rPr>
              <w:t>A higher buffer level may help reduce the probability of a playback stall, but may also increase the playback latency, so it’s a trade-off that needs to be balanced by applications. Different proprietary application mechanisms</w:t>
            </w:r>
            <w:r>
              <w:rPr>
                <w:iCs/>
              </w:rPr>
              <w:t xml:space="preserve"> attempting</w:t>
            </w:r>
            <w:r w:rsidRPr="00995810">
              <w:rPr>
                <w:iCs/>
              </w:rPr>
              <w:t xml:space="preserve"> to strike this balance may result in different application behavior for same buffer level or same content.</w:t>
            </w:r>
          </w:p>
          <w:p w14:paraId="5EA92223" w14:textId="1BC39123" w:rsidR="00D952F9" w:rsidRPr="00D952F9" w:rsidRDefault="00D952F9" w:rsidP="000A3447">
            <w:pPr>
              <w:pStyle w:val="ListParagraph"/>
              <w:numPr>
                <w:ilvl w:val="0"/>
                <w:numId w:val="24"/>
              </w:numPr>
              <w:overflowPunct/>
              <w:autoSpaceDE/>
              <w:autoSpaceDN/>
              <w:adjustRightInd/>
              <w:spacing w:after="0"/>
              <w:rPr>
                <w:iCs/>
              </w:rPr>
            </w:pPr>
            <w:r w:rsidRPr="00995810">
              <w:rPr>
                <w:iCs/>
              </w:rPr>
              <w:t xml:space="preserve">Also, </w:t>
            </w:r>
            <w:r w:rsidRPr="00995810">
              <w:t xml:space="preserve">different applications (e.g. low-latency live vs. </w:t>
            </w:r>
            <w:r>
              <w:t>on-demand video</w:t>
            </w:r>
            <w:r w:rsidRPr="00995810">
              <w:t xml:space="preserve"> applications) have very different behaviour of maintaining </w:t>
            </w:r>
            <w:r>
              <w:t xml:space="preserve">the </w:t>
            </w:r>
            <w:r w:rsidRPr="00995810">
              <w:t>buffer level</w:t>
            </w:r>
            <w:r>
              <w:t>.</w:t>
            </w:r>
          </w:p>
        </w:tc>
      </w:tr>
    </w:tbl>
    <w:p w14:paraId="2FAAF058" w14:textId="77777777" w:rsidR="00D952F9" w:rsidRDefault="00D952F9" w:rsidP="000A3447">
      <w:pPr>
        <w:pStyle w:val="Proposal"/>
        <w:rPr>
          <w:rFonts w:eastAsiaTheme="minorEastAsia"/>
        </w:rPr>
      </w:pPr>
    </w:p>
    <w:p w14:paraId="5ECEC303" w14:textId="0B332EF5" w:rsidR="000A3447" w:rsidRDefault="00D952F9" w:rsidP="000A3447">
      <w:pPr>
        <w:pStyle w:val="Proposal"/>
      </w:pPr>
      <w:r w:rsidRPr="00D952F9">
        <w:rPr>
          <w:rFonts w:eastAsiaTheme="minorEastAsia"/>
        </w:rPr>
        <w:t xml:space="preserve">SA4 </w:t>
      </w:r>
      <w:r>
        <w:rPr>
          <w:rFonts w:eastAsiaTheme="minorEastAsia"/>
        </w:rPr>
        <w:t>further informs that based on the above, SA4 “</w:t>
      </w:r>
      <w:r>
        <w:t xml:space="preserve">does not </w:t>
      </w:r>
      <w:r w:rsidRPr="00995810">
        <w:t>conf</w:t>
      </w:r>
      <w:r>
        <w:t>irm</w:t>
      </w:r>
      <w:r w:rsidRPr="00995810">
        <w:t xml:space="preserve"> RAN2 </w:t>
      </w:r>
      <w:r w:rsidRPr="005A6032">
        <w:t>preference that application layer triggering of buffer level threshold-based RVQoE reporting can be supported in Rel-18 based on the corresponding QoE configuration received from the AS layer</w:t>
      </w:r>
      <w:r>
        <w:t>”</w:t>
      </w:r>
      <w:r w:rsidR="009E6672">
        <w:t xml:space="preserve"> </w:t>
      </w:r>
      <w:r w:rsidR="008700CE">
        <w:t>and that “SA4</w:t>
      </w:r>
      <w:r w:rsidR="008700CE" w:rsidRPr="00995810">
        <w:t xml:space="preserve"> is considering appropriate alternatives for this purpose. SA4 requests RAN2</w:t>
      </w:r>
      <w:r w:rsidR="008700CE">
        <w:t xml:space="preserve"> and RAN3</w:t>
      </w:r>
      <w:r w:rsidR="008700CE" w:rsidRPr="00995810">
        <w:t xml:space="preserve"> to take this information in account, and that SA4 will keep RAN2</w:t>
      </w:r>
      <w:r w:rsidR="008700CE">
        <w:t xml:space="preserve"> and RAN3</w:t>
      </w:r>
      <w:r w:rsidR="008700CE" w:rsidRPr="00995810">
        <w:t xml:space="preserve"> updated on progress in this direction</w:t>
      </w:r>
      <w:r w:rsidR="008700CE">
        <w:t xml:space="preserve">.” [2]. </w:t>
      </w:r>
    </w:p>
    <w:p w14:paraId="3567733D" w14:textId="53FDE95E" w:rsidR="00363E3D" w:rsidRDefault="00363E3D" w:rsidP="000A3447">
      <w:pPr>
        <w:pStyle w:val="Proposal"/>
        <w:rPr>
          <w:rFonts w:eastAsiaTheme="minorEastAsia"/>
          <w:b/>
        </w:rPr>
      </w:pPr>
      <w:r>
        <w:rPr>
          <w:rFonts w:eastAsiaTheme="minorEastAsia"/>
          <w:b/>
        </w:rPr>
        <w:t xml:space="preserve">Observation </w:t>
      </w:r>
      <w:r w:rsidR="00B675B1">
        <w:rPr>
          <w:rFonts w:eastAsiaTheme="minorEastAsia"/>
          <w:b/>
        </w:rPr>
        <w:t>1</w:t>
      </w:r>
      <w:r>
        <w:rPr>
          <w:rFonts w:eastAsiaTheme="minorEastAsia"/>
          <w:b/>
        </w:rPr>
        <w:t xml:space="preserve">: SA4 does not believe </w:t>
      </w:r>
      <w:r w:rsidRPr="00363E3D">
        <w:rPr>
          <w:rFonts w:eastAsiaTheme="minorEastAsia"/>
          <w:b/>
        </w:rPr>
        <w:t>application layer triggering of buffer level threshold-based RVQoE reporting can be supported in Rel-18</w:t>
      </w:r>
      <w:r>
        <w:rPr>
          <w:rFonts w:eastAsiaTheme="minorEastAsia"/>
          <w:b/>
        </w:rPr>
        <w:t>.</w:t>
      </w:r>
    </w:p>
    <w:p w14:paraId="4B98EEB2" w14:textId="673E6E3E" w:rsidR="00B675B1" w:rsidRDefault="00B675B1" w:rsidP="00B675B1">
      <w:pPr>
        <w:pStyle w:val="Proposal"/>
        <w:rPr>
          <w:rFonts w:eastAsiaTheme="minorEastAsia"/>
        </w:rPr>
      </w:pPr>
      <w:r>
        <w:rPr>
          <w:rFonts w:eastAsiaTheme="minorEastAsia"/>
        </w:rPr>
        <w:t>However, it should be noted that the essence of SA4 updated reply is that buffer level metric is not an appropriate one for triggering RVQoE regardless of whether triggering is made at application layer or in AS layer. SA4 intends to work on some alternatives for this issue.</w:t>
      </w:r>
    </w:p>
    <w:p w14:paraId="67E1E10B" w14:textId="51BDEC03" w:rsidR="00B675B1" w:rsidRDefault="00B675B1" w:rsidP="00B675B1">
      <w:pPr>
        <w:pStyle w:val="Proposal"/>
        <w:rPr>
          <w:rFonts w:eastAsiaTheme="minorEastAsia"/>
          <w:b/>
        </w:rPr>
      </w:pPr>
      <w:r>
        <w:rPr>
          <w:rFonts w:eastAsiaTheme="minorEastAsia"/>
          <w:b/>
        </w:rPr>
        <w:t xml:space="preserve">Observation </w:t>
      </w:r>
      <w:r w:rsidR="007F0D4B">
        <w:rPr>
          <w:rFonts w:eastAsiaTheme="minorEastAsia"/>
          <w:b/>
        </w:rPr>
        <w:t>2</w:t>
      </w:r>
      <w:r>
        <w:rPr>
          <w:rFonts w:eastAsiaTheme="minorEastAsia"/>
          <w:b/>
        </w:rPr>
        <w:t>: According to SA4 feedback, buffer level is not an appropriate metric for triggering RVQoE reporting</w:t>
      </w:r>
      <w:r w:rsidR="007F0D4B">
        <w:rPr>
          <w:rFonts w:eastAsiaTheme="minorEastAsia"/>
          <w:b/>
        </w:rPr>
        <w:t xml:space="preserve"> regardless of whether triggering is made in AS layer or in application layer</w:t>
      </w:r>
      <w:r>
        <w:rPr>
          <w:rFonts w:eastAsiaTheme="minorEastAsia"/>
          <w:b/>
        </w:rPr>
        <w:t>.</w:t>
      </w:r>
    </w:p>
    <w:p w14:paraId="7C7C1440" w14:textId="08396D6D" w:rsidR="00186871" w:rsidRDefault="00186871" w:rsidP="00186871">
      <w:pPr>
        <w:pStyle w:val="Proposal"/>
        <w:rPr>
          <w:rFonts w:eastAsiaTheme="minorEastAsia"/>
          <w:b/>
        </w:rPr>
      </w:pPr>
      <w:r>
        <w:rPr>
          <w:rFonts w:eastAsiaTheme="minorEastAsia"/>
          <w:b/>
        </w:rPr>
        <w:t>Observation 3: SA4 is working on alternative solutions in this area and will keep RAN2 and RAN3 updated once they make a progress.</w:t>
      </w:r>
    </w:p>
    <w:p w14:paraId="1E279364" w14:textId="501911FB" w:rsidR="00F508C4" w:rsidRDefault="00F508C4" w:rsidP="00186871">
      <w:pPr>
        <w:pStyle w:val="Proposal"/>
        <w:rPr>
          <w:rFonts w:eastAsiaTheme="minorEastAsia"/>
        </w:rPr>
      </w:pPr>
      <w:r>
        <w:rPr>
          <w:rFonts w:eastAsiaTheme="minorEastAsia"/>
        </w:rPr>
        <w:t>We believe that considering this feedback, RAN WGs should cease the work on this topic until further information from SA4 is received. Otherwise, RAN WGs may unnecessarily spend time on mechanisms which prove to be infeasible or not useful.</w:t>
      </w:r>
    </w:p>
    <w:p w14:paraId="6CD3B448" w14:textId="78F72E01" w:rsidR="007E1C35" w:rsidRPr="00053943" w:rsidRDefault="007E1C35" w:rsidP="00186871">
      <w:pPr>
        <w:pStyle w:val="Proposal"/>
        <w:numPr>
          <w:ilvl w:val="0"/>
          <w:numId w:val="16"/>
        </w:numPr>
        <w:tabs>
          <w:tab w:val="left" w:pos="1560"/>
        </w:tabs>
        <w:overflowPunct/>
        <w:autoSpaceDE/>
        <w:autoSpaceDN/>
        <w:adjustRightInd/>
        <w:spacing w:beforeLines="100" w:before="240" w:after="0" w:line="259" w:lineRule="auto"/>
        <w:jc w:val="left"/>
        <w:rPr>
          <w:b/>
          <w:lang w:val="en-US"/>
        </w:rPr>
      </w:pPr>
      <w:r w:rsidRPr="00053943">
        <w:rPr>
          <w:rFonts w:eastAsiaTheme="minorEastAsia"/>
          <w:b/>
        </w:rPr>
        <w:t>RAN2 should</w:t>
      </w:r>
      <w:r w:rsidR="00427BBB" w:rsidRPr="00053943">
        <w:rPr>
          <w:rFonts w:eastAsiaTheme="minorEastAsia"/>
          <w:b/>
        </w:rPr>
        <w:t xml:space="preserve"> </w:t>
      </w:r>
      <w:r w:rsidR="002946CC" w:rsidRPr="00053943">
        <w:rPr>
          <w:rFonts w:eastAsiaTheme="minorEastAsia"/>
          <w:b/>
        </w:rPr>
        <w:t xml:space="preserve">suspend all the work on threshold based RVQoE until further progress is made </w:t>
      </w:r>
      <w:r w:rsidR="003F6951">
        <w:rPr>
          <w:rFonts w:eastAsiaTheme="minorEastAsia"/>
          <w:b/>
        </w:rPr>
        <w:t>by</w:t>
      </w:r>
      <w:r w:rsidR="002946CC" w:rsidRPr="00053943">
        <w:rPr>
          <w:rFonts w:eastAsiaTheme="minorEastAsia"/>
          <w:b/>
        </w:rPr>
        <w:t xml:space="preserve"> SA4.</w:t>
      </w:r>
    </w:p>
    <w:p w14:paraId="74DA12AA" w14:textId="1C67A925" w:rsidR="00101ADB" w:rsidRDefault="00800374" w:rsidP="00101ADB">
      <w:pPr>
        <w:pStyle w:val="Heading1"/>
      </w:pPr>
      <w:r w:rsidRPr="00800374">
        <w:t>QoE reporting enhancement for overload scenario</w:t>
      </w:r>
    </w:p>
    <w:p w14:paraId="6C10DE05" w14:textId="15123CB3" w:rsidR="00800374" w:rsidRDefault="00800374" w:rsidP="00101ADB">
      <w:pPr>
        <w:rPr>
          <w:lang w:val="en-GB" w:eastAsia="zh-CN"/>
        </w:rPr>
      </w:pPr>
      <w:r>
        <w:rPr>
          <w:lang w:val="en-GB" w:eastAsia="zh-CN"/>
        </w:rPr>
        <w:t xml:space="preserve">RAN2 tentatively discussed </w:t>
      </w:r>
      <w:r w:rsidRPr="00800374">
        <w:rPr>
          <w:lang w:val="en-GB" w:eastAsia="zh-CN"/>
        </w:rPr>
        <w:t>QoE reporting enhancement for overload scenario</w:t>
      </w:r>
      <w:r>
        <w:rPr>
          <w:lang w:val="en-GB" w:eastAsia="zh-CN"/>
        </w:rPr>
        <w:t xml:space="preserve"> during RAN2#119bis meeting and it was decided to postpone the discussion and wait for further RAN3 progress.</w:t>
      </w:r>
    </w:p>
    <w:tbl>
      <w:tblPr>
        <w:tblStyle w:val="TableGrid"/>
        <w:tblW w:w="0" w:type="auto"/>
        <w:tblLook w:val="04A0" w:firstRow="1" w:lastRow="0" w:firstColumn="1" w:lastColumn="0" w:noHBand="0" w:noVBand="1"/>
      </w:tblPr>
      <w:tblGrid>
        <w:gridCol w:w="9350"/>
      </w:tblGrid>
      <w:tr w:rsidR="00800374" w14:paraId="45DE84E6" w14:textId="77777777" w:rsidTr="00800374">
        <w:tc>
          <w:tcPr>
            <w:tcW w:w="9350" w:type="dxa"/>
          </w:tcPr>
          <w:p w14:paraId="7B173F26" w14:textId="7B3DD44E" w:rsidR="00800374" w:rsidRDefault="00800374" w:rsidP="00101ADB">
            <w:pPr>
              <w:rPr>
                <w:lang w:val="en-GB" w:eastAsia="zh-CN"/>
              </w:rPr>
            </w:pPr>
            <w:r>
              <w:rPr>
                <w:rFonts w:ascii="Arial" w:hAnsi="Arial" w:cs="Arial"/>
                <w:i/>
                <w:iCs/>
              </w:rPr>
              <w:t> </w:t>
            </w:r>
            <w:r>
              <w:rPr>
                <w:rFonts w:ascii="Arial" w:hAnsi="Arial" w:cs="Arial"/>
                <w:b/>
                <w:bCs/>
              </w:rPr>
              <w:t xml:space="preserve">7: RAN2 to postpone the discussion of the QoE reporting enhancement for overload scenario to the next meeting (based on the progress of RAN3).  </w:t>
            </w:r>
          </w:p>
        </w:tc>
      </w:tr>
    </w:tbl>
    <w:p w14:paraId="1F21CC54" w14:textId="77777777" w:rsidR="00800374" w:rsidRDefault="00800374" w:rsidP="00101ADB">
      <w:pPr>
        <w:rPr>
          <w:lang w:val="en-GB" w:eastAsia="zh-CN"/>
        </w:rPr>
      </w:pPr>
    </w:p>
    <w:p w14:paraId="42D5F41B" w14:textId="1A5F4FDA" w:rsidR="00101ADB" w:rsidRDefault="00800374" w:rsidP="00101ADB">
      <w:pPr>
        <w:rPr>
          <w:lang w:val="en-GB" w:eastAsia="zh-CN"/>
        </w:rPr>
      </w:pPr>
      <w:r>
        <w:rPr>
          <w:lang w:val="en-GB" w:eastAsia="zh-CN"/>
        </w:rPr>
        <w:t xml:space="preserve">RAN2 </w:t>
      </w:r>
      <w:r w:rsidR="00101ADB">
        <w:rPr>
          <w:lang w:val="en-GB" w:eastAsia="zh-CN"/>
        </w:rPr>
        <w:t xml:space="preserve">also made the following agreement </w:t>
      </w:r>
      <w:r>
        <w:rPr>
          <w:lang w:val="en-GB" w:eastAsia="zh-CN"/>
        </w:rPr>
        <w:t>in the scope of QoE for MBS broadcast discussion</w:t>
      </w:r>
      <w:r w:rsidR="00101ADB">
        <w:rPr>
          <w:lang w:val="en-GB" w:eastAsia="zh-CN"/>
        </w:rPr>
        <w:t>:</w:t>
      </w:r>
    </w:p>
    <w:tbl>
      <w:tblPr>
        <w:tblStyle w:val="TableGrid"/>
        <w:tblW w:w="0" w:type="auto"/>
        <w:tblLook w:val="04A0" w:firstRow="1" w:lastRow="0" w:firstColumn="1" w:lastColumn="0" w:noHBand="0" w:noVBand="1"/>
      </w:tblPr>
      <w:tblGrid>
        <w:gridCol w:w="9350"/>
      </w:tblGrid>
      <w:tr w:rsidR="00101ADB" w14:paraId="291202D5" w14:textId="77777777" w:rsidTr="00B306AD">
        <w:tc>
          <w:tcPr>
            <w:tcW w:w="9350" w:type="dxa"/>
          </w:tcPr>
          <w:p w14:paraId="25027A70" w14:textId="77777777" w:rsidR="00101ADB" w:rsidRPr="008907D8" w:rsidRDefault="00101ADB" w:rsidP="00101ADB">
            <w:pPr>
              <w:numPr>
                <w:ilvl w:val="0"/>
                <w:numId w:val="19"/>
              </w:numPr>
              <w:overflowPunct/>
              <w:autoSpaceDE/>
              <w:autoSpaceDN/>
              <w:adjustRightInd/>
              <w:spacing w:before="60" w:after="0"/>
              <w:textAlignment w:val="center"/>
              <w:rPr>
                <w:rFonts w:ascii="Calibri" w:eastAsia="Times New Roman" w:hAnsi="Calibri" w:cs="Calibri"/>
                <w:sz w:val="22"/>
                <w:szCs w:val="22"/>
                <w:lang w:val="en-GB"/>
              </w:rPr>
            </w:pPr>
            <w:r w:rsidRPr="008907D8">
              <w:rPr>
                <w:rFonts w:ascii="Arial" w:eastAsia="Times New Roman" w:hAnsi="Arial" w:cs="Arial"/>
                <w:b/>
                <w:bCs/>
                <w:lang w:val="en-GB"/>
              </w:rPr>
              <w:t>4: As a default behavior, when the UE’s buffer for storing QoE reports is full and a new report arrives, the UE should discard older report(s) to make room for the new one.</w:t>
            </w:r>
          </w:p>
          <w:p w14:paraId="6B1FF13A" w14:textId="77777777" w:rsidR="00101ADB" w:rsidRPr="008907D8" w:rsidRDefault="00101ADB" w:rsidP="00101ADB">
            <w:pPr>
              <w:numPr>
                <w:ilvl w:val="0"/>
                <w:numId w:val="19"/>
              </w:numPr>
              <w:overflowPunct/>
              <w:autoSpaceDE/>
              <w:autoSpaceDN/>
              <w:adjustRightInd/>
              <w:spacing w:before="60" w:after="0"/>
              <w:textAlignment w:val="center"/>
              <w:rPr>
                <w:rFonts w:ascii="Calibri" w:eastAsia="Times New Roman" w:hAnsi="Calibri" w:cs="Calibri"/>
                <w:sz w:val="22"/>
                <w:szCs w:val="22"/>
                <w:lang w:val="en-GB"/>
              </w:rPr>
            </w:pPr>
            <w:r w:rsidRPr="008907D8">
              <w:rPr>
                <w:rFonts w:ascii="Arial" w:eastAsia="Times New Roman" w:hAnsi="Arial" w:cs="Arial"/>
                <w:b/>
                <w:bCs/>
                <w:lang w:val="en-GB"/>
              </w:rPr>
              <w:t xml:space="preserve">5: FFS whether it is possible to provide </w:t>
            </w:r>
            <w:r w:rsidRPr="008907D8">
              <w:rPr>
                <w:rFonts w:ascii="Arial" w:eastAsia="Times New Roman" w:hAnsi="Arial" w:cs="Arial"/>
                <w:b/>
                <w:bCs/>
                <w:highlight w:val="yellow"/>
                <w:lang w:val="en-GB"/>
              </w:rPr>
              <w:t>information (e.g. priority, service type, etc.) to UE about buffering</w:t>
            </w:r>
            <w:r w:rsidRPr="008907D8">
              <w:rPr>
                <w:rFonts w:ascii="Arial" w:eastAsia="Times New Roman" w:hAnsi="Arial" w:cs="Arial"/>
                <w:b/>
                <w:bCs/>
                <w:lang w:val="en-GB"/>
              </w:rPr>
              <w:t xml:space="preserve"> for the UE to decide which reports to discard in case the UE’s QoE buffer becomes full. </w:t>
            </w:r>
          </w:p>
          <w:p w14:paraId="43763668" w14:textId="77777777" w:rsidR="00101ADB" w:rsidRPr="00E83503" w:rsidRDefault="00101ADB" w:rsidP="00B306AD">
            <w:pPr>
              <w:tabs>
                <w:tab w:val="left" w:pos="720"/>
              </w:tabs>
              <w:spacing w:after="0"/>
              <w:rPr>
                <w:lang w:eastAsia="zh-CN"/>
              </w:rPr>
            </w:pPr>
          </w:p>
        </w:tc>
      </w:tr>
    </w:tbl>
    <w:p w14:paraId="5F36BD25" w14:textId="77777777" w:rsidR="00156B0A" w:rsidRDefault="00156B0A" w:rsidP="00101ADB">
      <w:pPr>
        <w:spacing w:after="0"/>
        <w:rPr>
          <w:lang w:val="en-GB" w:eastAsia="zh-CN"/>
        </w:rPr>
      </w:pPr>
    </w:p>
    <w:p w14:paraId="26151176" w14:textId="6A0865D0" w:rsidR="00101ADB" w:rsidRDefault="00101ADB" w:rsidP="00101ADB">
      <w:pPr>
        <w:spacing w:after="0"/>
        <w:rPr>
          <w:lang w:val="en-GB" w:eastAsia="zh-CN"/>
        </w:rPr>
      </w:pPr>
      <w:r>
        <w:rPr>
          <w:lang w:val="en-GB" w:eastAsia="zh-CN"/>
        </w:rPr>
        <w:t xml:space="preserve">In general, companies agreed that selection policies or priorities </w:t>
      </w:r>
      <w:r w:rsidRPr="008907D8">
        <w:rPr>
          <w:lang w:val="en-GB" w:eastAsia="zh-CN"/>
        </w:rPr>
        <w:t xml:space="preserve">for the UE to decide which reports to discard in case the UE’s QoE buffer becomes full </w:t>
      </w:r>
      <w:r>
        <w:rPr>
          <w:lang w:val="en-GB" w:eastAsia="zh-CN"/>
        </w:rPr>
        <w:t>would be useful. However, it was unclear how such priorities or policies would be defined and it was eventually decided to postpone the decision. It should be noted that a related topic was discussed by RAN3 and it was decided to request some clarifications on this aspect from SA5, see the LS in [</w:t>
      </w:r>
      <w:r w:rsidR="00BD0799">
        <w:rPr>
          <w:lang w:val="en-GB" w:eastAsia="zh-CN"/>
        </w:rPr>
        <w:t>3</w:t>
      </w:r>
      <w:r>
        <w:rPr>
          <w:lang w:val="en-GB" w:eastAsia="zh-CN"/>
        </w:rPr>
        <w:t xml:space="preserve">]. </w:t>
      </w:r>
      <w:r w:rsidR="00CB0246">
        <w:rPr>
          <w:lang w:val="en-GB" w:eastAsia="zh-CN"/>
        </w:rPr>
        <w:t>RAN3’s main intention is to support this mechanism to deal with RAN overload scenario, e.g. for the gNB to decide which Q</w:t>
      </w:r>
      <w:r w:rsidR="00156B0A">
        <w:rPr>
          <w:lang w:val="en-GB" w:eastAsia="zh-CN"/>
        </w:rPr>
        <w:t>o</w:t>
      </w:r>
      <w:r w:rsidR="00CB0246">
        <w:rPr>
          <w:lang w:val="en-GB" w:eastAsia="zh-CN"/>
        </w:rPr>
        <w:t xml:space="preserve">E configurations to pause. From RAN2 point of view, if such information is </w:t>
      </w:r>
      <w:r w:rsidR="00EC7BE7">
        <w:rPr>
          <w:lang w:val="en-GB" w:eastAsia="zh-CN"/>
        </w:rPr>
        <w:t>forwarded</w:t>
      </w:r>
      <w:r w:rsidR="00CB0246">
        <w:rPr>
          <w:lang w:val="en-GB" w:eastAsia="zh-CN"/>
        </w:rPr>
        <w:t xml:space="preserve"> to the UE, the UE may use it to decide which reports to keep either while reporting is paused or when buffering MBS </w:t>
      </w:r>
      <w:r w:rsidR="00156B0A">
        <w:rPr>
          <w:lang w:val="en-GB" w:eastAsia="zh-CN"/>
        </w:rPr>
        <w:t>Qo</w:t>
      </w:r>
      <w:r w:rsidR="00CB0246">
        <w:rPr>
          <w:lang w:val="en-GB" w:eastAsia="zh-CN"/>
        </w:rPr>
        <w:t xml:space="preserve">E reports while in RRC INACTIVE/IDLE state. </w:t>
      </w:r>
      <w:r>
        <w:rPr>
          <w:lang w:val="en-GB" w:eastAsia="zh-CN"/>
        </w:rPr>
        <w:t xml:space="preserve">We </w:t>
      </w:r>
      <w:r w:rsidR="00CB0246">
        <w:rPr>
          <w:lang w:val="en-GB" w:eastAsia="zh-CN"/>
        </w:rPr>
        <w:t xml:space="preserve">then </w:t>
      </w:r>
      <w:r>
        <w:rPr>
          <w:lang w:val="en-GB" w:eastAsia="zh-CN"/>
        </w:rPr>
        <w:t>propose that RAN2 agrees about the usefulness of this mechanism, but only discusses the details once the reply from SA5 is received and RAN3 clarifies the contents of the intended assistance information provided from OAM to RAN.</w:t>
      </w:r>
    </w:p>
    <w:p w14:paraId="114B9A83" w14:textId="4E960925" w:rsidR="00101ADB" w:rsidRPr="00101ADB" w:rsidRDefault="00101ADB" w:rsidP="00F831ED">
      <w:pPr>
        <w:pStyle w:val="Proposal"/>
        <w:numPr>
          <w:ilvl w:val="0"/>
          <w:numId w:val="16"/>
        </w:numPr>
        <w:tabs>
          <w:tab w:val="left" w:pos="1560"/>
        </w:tabs>
        <w:overflowPunct/>
        <w:autoSpaceDE/>
        <w:autoSpaceDN/>
        <w:adjustRightInd/>
        <w:spacing w:beforeLines="100" w:before="240" w:after="0" w:line="259" w:lineRule="auto"/>
        <w:jc w:val="left"/>
        <w:rPr>
          <w:b/>
          <w:lang w:val="en-US"/>
        </w:rPr>
      </w:pPr>
      <w:r w:rsidRPr="00101ADB">
        <w:rPr>
          <w:b/>
        </w:rPr>
        <w:t>RAN2 agrees that assistance information for the UE to decide which reports to discard in case the</w:t>
      </w:r>
      <w:r w:rsidRPr="00101ADB">
        <w:rPr>
          <w:b/>
          <w:lang w:val="en-US"/>
        </w:rPr>
        <w:t xml:space="preserve"> UE’s QoE buffer becomes full is useful</w:t>
      </w:r>
      <w:r w:rsidR="00A875A7">
        <w:rPr>
          <w:b/>
          <w:lang w:val="en-US"/>
        </w:rPr>
        <w:t>, e.g. for storing QoE reports during pause or in RRC IDLE/INACTIVE state</w:t>
      </w:r>
      <w:r w:rsidRPr="00101ADB">
        <w:rPr>
          <w:b/>
          <w:lang w:val="en-US"/>
        </w:rPr>
        <w:t xml:space="preserve">. RAN2 </w:t>
      </w:r>
      <w:r w:rsidRPr="00101ADB">
        <w:rPr>
          <w:b/>
        </w:rPr>
        <w:t xml:space="preserve">should wait for </w:t>
      </w:r>
      <w:r w:rsidRPr="00101ADB">
        <w:rPr>
          <w:b/>
          <w:lang w:val="en-US"/>
        </w:rPr>
        <w:t>RAN3 conclusion on the contents of assistance information provided from OAM to RAN before working on the details.</w:t>
      </w:r>
    </w:p>
    <w:p w14:paraId="724CDD4A" w14:textId="77777777" w:rsidR="00885A34" w:rsidRPr="00101ADB" w:rsidRDefault="00885A34" w:rsidP="00771409">
      <w:pPr>
        <w:spacing w:after="0"/>
        <w:rPr>
          <w:lang w:eastAsia="zh-CN"/>
        </w:rPr>
      </w:pPr>
    </w:p>
    <w:bookmarkEnd w:id="6"/>
    <w:p w14:paraId="7E98F599" w14:textId="11B480C3" w:rsidR="00120B28" w:rsidRDefault="002364EE">
      <w:pPr>
        <w:pStyle w:val="Heading1"/>
      </w:pPr>
      <w:r>
        <w:t>Conclusion</w:t>
      </w:r>
    </w:p>
    <w:p w14:paraId="5EE468D8" w14:textId="0BC0F4DB" w:rsidR="00B86A38" w:rsidRDefault="00086F49">
      <w:pPr>
        <w:spacing w:after="0"/>
        <w:rPr>
          <w:lang w:eastAsia="zh-CN"/>
        </w:rPr>
      </w:pPr>
      <w:r>
        <w:rPr>
          <w:lang w:eastAsia="zh-CN"/>
        </w:rPr>
        <w:t>Based on the discussion in the paper, we observe and propose the following</w:t>
      </w:r>
      <w:r w:rsidR="00F333C9">
        <w:rPr>
          <w:lang w:eastAsia="zh-CN"/>
        </w:rPr>
        <w:t>:</w:t>
      </w:r>
    </w:p>
    <w:p w14:paraId="047E2F2F" w14:textId="77E4C555" w:rsidR="00086F49" w:rsidRDefault="00086F49">
      <w:pPr>
        <w:spacing w:after="0"/>
        <w:rPr>
          <w:lang w:eastAsia="zh-CN"/>
        </w:rPr>
      </w:pPr>
    </w:p>
    <w:p w14:paraId="1E7354FA" w14:textId="3B50524C" w:rsidR="00086F49" w:rsidRPr="00324C45" w:rsidRDefault="00324C45" w:rsidP="00324C45">
      <w:pPr>
        <w:rPr>
          <w:u w:val="single"/>
          <w:lang w:val="en-GB" w:eastAsia="zh-CN"/>
        </w:rPr>
      </w:pPr>
      <w:r w:rsidRPr="00324C45">
        <w:rPr>
          <w:u w:val="single"/>
          <w:lang w:val="en-GB" w:eastAsia="zh-CN"/>
        </w:rPr>
        <w:t>Threshold based RAN visible QoE reporting</w:t>
      </w:r>
    </w:p>
    <w:p w14:paraId="261C5F99" w14:textId="77777777" w:rsidR="00086F49" w:rsidRDefault="00086F49" w:rsidP="00086F49">
      <w:pPr>
        <w:pStyle w:val="Proposal"/>
        <w:rPr>
          <w:rFonts w:eastAsiaTheme="minorEastAsia"/>
          <w:b/>
        </w:rPr>
      </w:pPr>
      <w:r>
        <w:rPr>
          <w:rFonts w:eastAsiaTheme="minorEastAsia"/>
          <w:b/>
        </w:rPr>
        <w:t xml:space="preserve">Observation 1: SA4 does not believe </w:t>
      </w:r>
      <w:r w:rsidRPr="00363E3D">
        <w:rPr>
          <w:rFonts w:eastAsiaTheme="minorEastAsia"/>
          <w:b/>
        </w:rPr>
        <w:t>application layer triggering of buffer level threshold-based RVQoE reporting can be supported in Rel-18</w:t>
      </w:r>
      <w:r>
        <w:rPr>
          <w:rFonts w:eastAsiaTheme="minorEastAsia"/>
          <w:b/>
        </w:rPr>
        <w:t>.</w:t>
      </w:r>
    </w:p>
    <w:p w14:paraId="298C47E0" w14:textId="77777777" w:rsidR="00086F49" w:rsidRDefault="00086F49" w:rsidP="00086F49">
      <w:pPr>
        <w:pStyle w:val="Proposal"/>
        <w:rPr>
          <w:rFonts w:eastAsiaTheme="minorEastAsia"/>
          <w:b/>
        </w:rPr>
      </w:pPr>
      <w:r>
        <w:rPr>
          <w:rFonts w:eastAsiaTheme="minorEastAsia"/>
          <w:b/>
        </w:rPr>
        <w:t>Observation 2: According to SA4 feedback, buffer level is not an appropriate metric for triggering RVQoE reporting regardless of whether triggering is made in AS layer or in application layer.</w:t>
      </w:r>
    </w:p>
    <w:p w14:paraId="05AE274F" w14:textId="77777777" w:rsidR="00086F49" w:rsidRDefault="00086F49" w:rsidP="00086F49">
      <w:pPr>
        <w:pStyle w:val="Proposal"/>
        <w:rPr>
          <w:rFonts w:eastAsiaTheme="minorEastAsia"/>
          <w:b/>
        </w:rPr>
      </w:pPr>
      <w:r>
        <w:rPr>
          <w:rFonts w:eastAsiaTheme="minorEastAsia"/>
          <w:b/>
        </w:rPr>
        <w:t>Observation 3: SA4 is working on alternative solutions in this area and will keep RAN2 and RAN3 updated once they make a progress.</w:t>
      </w:r>
    </w:p>
    <w:p w14:paraId="0526A764" w14:textId="1EF7095D" w:rsidR="00086F49" w:rsidRPr="00086F49" w:rsidRDefault="00086F49" w:rsidP="00086F49">
      <w:pPr>
        <w:pStyle w:val="Proposal"/>
        <w:numPr>
          <w:ilvl w:val="0"/>
          <w:numId w:val="25"/>
        </w:numPr>
        <w:tabs>
          <w:tab w:val="left" w:pos="1560"/>
        </w:tabs>
        <w:overflowPunct/>
        <w:autoSpaceDE/>
        <w:autoSpaceDN/>
        <w:adjustRightInd/>
        <w:spacing w:beforeLines="100" w:before="240" w:after="0" w:line="259" w:lineRule="auto"/>
        <w:jc w:val="left"/>
        <w:rPr>
          <w:b/>
          <w:lang w:val="en-US"/>
        </w:rPr>
      </w:pPr>
      <w:r w:rsidRPr="00053943">
        <w:rPr>
          <w:rFonts w:eastAsiaTheme="minorEastAsia"/>
          <w:b/>
        </w:rPr>
        <w:t xml:space="preserve">RAN2 should suspend all the work on threshold based RVQoE until further progress is made </w:t>
      </w:r>
      <w:r>
        <w:rPr>
          <w:rFonts w:eastAsiaTheme="minorEastAsia"/>
          <w:b/>
        </w:rPr>
        <w:t>by</w:t>
      </w:r>
      <w:r w:rsidRPr="00053943">
        <w:rPr>
          <w:rFonts w:eastAsiaTheme="minorEastAsia"/>
          <w:b/>
        </w:rPr>
        <w:t xml:space="preserve"> SA4.</w:t>
      </w:r>
    </w:p>
    <w:p w14:paraId="062EFB12" w14:textId="5DB1EDA8" w:rsidR="00086F49" w:rsidRDefault="00086F49" w:rsidP="00086F49">
      <w:pPr>
        <w:pStyle w:val="Proposal"/>
        <w:tabs>
          <w:tab w:val="left" w:pos="1560"/>
        </w:tabs>
        <w:overflowPunct/>
        <w:autoSpaceDE/>
        <w:autoSpaceDN/>
        <w:adjustRightInd/>
        <w:spacing w:beforeLines="100" w:before="240" w:after="0" w:line="259" w:lineRule="auto"/>
        <w:jc w:val="left"/>
        <w:rPr>
          <w:b/>
        </w:rPr>
      </w:pPr>
    </w:p>
    <w:p w14:paraId="5CCADCF7" w14:textId="6864FCB9" w:rsidR="00324C45" w:rsidRPr="00324C45" w:rsidRDefault="00324C45" w:rsidP="00324C45">
      <w:pPr>
        <w:rPr>
          <w:u w:val="single"/>
          <w:lang w:val="en-GB" w:eastAsia="zh-CN"/>
        </w:rPr>
      </w:pPr>
      <w:r w:rsidRPr="00324C45">
        <w:rPr>
          <w:u w:val="single"/>
          <w:lang w:val="en-GB" w:eastAsia="zh-CN"/>
        </w:rPr>
        <w:t>QoE reporting enhancement for overload scenario</w:t>
      </w:r>
    </w:p>
    <w:p w14:paraId="36F068D1" w14:textId="77777777" w:rsidR="00086F49" w:rsidRPr="00101ADB" w:rsidRDefault="00086F49" w:rsidP="00086F49">
      <w:pPr>
        <w:pStyle w:val="Proposal"/>
        <w:numPr>
          <w:ilvl w:val="0"/>
          <w:numId w:val="25"/>
        </w:numPr>
        <w:tabs>
          <w:tab w:val="left" w:pos="1560"/>
        </w:tabs>
        <w:overflowPunct/>
        <w:autoSpaceDE/>
        <w:autoSpaceDN/>
        <w:adjustRightInd/>
        <w:spacing w:beforeLines="100" w:before="240" w:after="0" w:line="259" w:lineRule="auto"/>
        <w:jc w:val="left"/>
        <w:rPr>
          <w:b/>
          <w:lang w:val="en-US"/>
        </w:rPr>
      </w:pPr>
      <w:r w:rsidRPr="00101ADB">
        <w:rPr>
          <w:b/>
        </w:rPr>
        <w:t>RAN2 agrees that assistance information for the UE to decide which reports to discard in case the</w:t>
      </w:r>
      <w:r w:rsidRPr="00101ADB">
        <w:rPr>
          <w:b/>
          <w:lang w:val="en-US"/>
        </w:rPr>
        <w:t xml:space="preserve"> UE’s QoE buffer becomes full is useful</w:t>
      </w:r>
      <w:r>
        <w:rPr>
          <w:b/>
          <w:lang w:val="en-US"/>
        </w:rPr>
        <w:t>, e.g. for storing QoE reports during pause or in RRC IDLE/INACTIVE state</w:t>
      </w:r>
      <w:r w:rsidRPr="00101ADB">
        <w:rPr>
          <w:b/>
          <w:lang w:val="en-US"/>
        </w:rPr>
        <w:t xml:space="preserve">. RAN2 </w:t>
      </w:r>
      <w:r w:rsidRPr="00101ADB">
        <w:rPr>
          <w:b/>
        </w:rPr>
        <w:t xml:space="preserve">should wait for </w:t>
      </w:r>
      <w:r w:rsidRPr="00101ADB">
        <w:rPr>
          <w:b/>
          <w:lang w:val="en-US"/>
        </w:rPr>
        <w:t>RAN3 conclusion on the contents of assistance information provided from OAM to RAN before working on the details.</w:t>
      </w:r>
    </w:p>
    <w:p w14:paraId="2FF5C2E1" w14:textId="77777777" w:rsidR="002F3384" w:rsidRPr="00FE4846" w:rsidRDefault="002F3384" w:rsidP="00086F49">
      <w:pPr>
        <w:tabs>
          <w:tab w:val="left" w:pos="1560"/>
        </w:tabs>
        <w:overflowPunct/>
        <w:autoSpaceDE/>
        <w:autoSpaceDN/>
        <w:adjustRightInd/>
        <w:rPr>
          <w:rFonts w:eastAsiaTheme="minorEastAsia"/>
          <w:b/>
        </w:rPr>
      </w:pPr>
    </w:p>
    <w:p w14:paraId="72335083" w14:textId="7E8EBEBB" w:rsidR="00741283" w:rsidRDefault="00741283" w:rsidP="00741283">
      <w:pPr>
        <w:pStyle w:val="Heading1"/>
      </w:pPr>
      <w:r>
        <w:t>References</w:t>
      </w:r>
    </w:p>
    <w:p w14:paraId="37F53CEE" w14:textId="1BE7D059" w:rsidR="00016D5D" w:rsidRDefault="00016D5D">
      <w:pPr>
        <w:spacing w:after="0"/>
        <w:rPr>
          <w:lang w:eastAsia="zh-CN"/>
        </w:rPr>
      </w:pPr>
      <w:r>
        <w:rPr>
          <w:rFonts w:hint="eastAsia"/>
          <w:lang w:eastAsia="zh-CN"/>
        </w:rPr>
        <w:t>[</w:t>
      </w:r>
      <w:r w:rsidR="0010229A">
        <w:rPr>
          <w:lang w:eastAsia="zh-CN"/>
        </w:rPr>
        <w:t>1</w:t>
      </w:r>
      <w:r>
        <w:rPr>
          <w:lang w:eastAsia="zh-CN"/>
        </w:rPr>
        <w:t xml:space="preserve">] </w:t>
      </w:r>
      <w:r w:rsidR="0010229A" w:rsidRPr="0010229A">
        <w:rPr>
          <w:lang w:eastAsia="zh-CN"/>
        </w:rPr>
        <w:t>S4-230684</w:t>
      </w:r>
      <w:r w:rsidR="0010229A">
        <w:rPr>
          <w:lang w:eastAsia="zh-CN"/>
        </w:rPr>
        <w:t xml:space="preserve">, </w:t>
      </w:r>
      <w:r w:rsidR="0010229A" w:rsidRPr="0010229A">
        <w:rPr>
          <w:lang w:eastAsia="zh-CN"/>
        </w:rPr>
        <w:t>Reply LS on buffer level threshold-based RVQoE reporting</w:t>
      </w:r>
      <w:r w:rsidR="0010229A">
        <w:rPr>
          <w:lang w:eastAsia="zh-CN"/>
        </w:rPr>
        <w:t>, SA4</w:t>
      </w:r>
    </w:p>
    <w:p w14:paraId="27309683" w14:textId="6D5D24ED" w:rsidR="00364276" w:rsidRDefault="00364276">
      <w:pPr>
        <w:spacing w:after="0"/>
        <w:rPr>
          <w:lang w:eastAsia="zh-CN"/>
        </w:rPr>
      </w:pPr>
      <w:r>
        <w:rPr>
          <w:lang w:eastAsia="zh-CN"/>
        </w:rPr>
        <w:t xml:space="preserve">[2] </w:t>
      </w:r>
      <w:r w:rsidRPr="00364276">
        <w:rPr>
          <w:lang w:eastAsia="zh-CN"/>
        </w:rPr>
        <w:t>S4aI230140</w:t>
      </w:r>
      <w:r>
        <w:rPr>
          <w:lang w:eastAsia="zh-CN"/>
        </w:rPr>
        <w:t xml:space="preserve">, </w:t>
      </w:r>
      <w:r w:rsidRPr="00364276">
        <w:rPr>
          <w:lang w:eastAsia="zh-CN"/>
        </w:rPr>
        <w:t>Reply LS on buffer level threshold-based RVQoE reporting</w:t>
      </w:r>
      <w:r>
        <w:rPr>
          <w:lang w:eastAsia="zh-CN"/>
        </w:rPr>
        <w:t>, SA4</w:t>
      </w:r>
    </w:p>
    <w:p w14:paraId="6F279F67" w14:textId="77B6484F" w:rsidR="00800374" w:rsidRDefault="00800374">
      <w:pPr>
        <w:spacing w:after="0"/>
        <w:rPr>
          <w:lang w:eastAsia="zh-CN"/>
        </w:rPr>
      </w:pPr>
      <w:r>
        <w:rPr>
          <w:lang w:eastAsia="zh-CN"/>
        </w:rPr>
        <w:t xml:space="preserve">[3] </w:t>
      </w:r>
      <w:r w:rsidRPr="00800374">
        <w:rPr>
          <w:lang w:eastAsia="zh-CN"/>
        </w:rPr>
        <w:t>R3-232047, LS on the feasibility of introducing assistance information for handling of QoE reporting during RAN overload, RAN3</w:t>
      </w:r>
    </w:p>
    <w:bookmarkEnd w:id="1"/>
    <w:p w14:paraId="7A3078A7" w14:textId="40CCA9A1" w:rsidR="002D783D" w:rsidRDefault="002D783D">
      <w:pPr>
        <w:spacing w:after="0"/>
        <w:rPr>
          <w:lang w:eastAsia="zh-CN"/>
        </w:rPr>
      </w:pPr>
    </w:p>
    <w:sectPr w:rsidR="002D783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2AB72" w14:textId="77777777" w:rsidR="007F07AB" w:rsidRDefault="007F07AB">
      <w:pPr>
        <w:spacing w:after="0"/>
      </w:pPr>
      <w:r>
        <w:separator/>
      </w:r>
    </w:p>
  </w:endnote>
  <w:endnote w:type="continuationSeparator" w:id="0">
    <w:p w14:paraId="784DB1A4" w14:textId="77777777" w:rsidR="007F07AB" w:rsidRDefault="007F0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B53811" w:rsidRDefault="00B53811">
    <w:pPr>
      <w:pStyle w:val="Footer"/>
      <w:jc w:val="center"/>
    </w:pPr>
    <w:r>
      <w:fldChar w:fldCharType="begin"/>
    </w:r>
    <w:r>
      <w:instrText xml:space="preserve"> PAGE   \* MERGEFORMAT </w:instrText>
    </w:r>
    <w:r>
      <w:fldChar w:fldCharType="separate"/>
    </w:r>
    <w:r w:rsidR="0005054B">
      <w:rPr>
        <w:noProof/>
      </w:rPr>
      <w:t>7</w:t>
    </w:r>
    <w:r>
      <w:fldChar w:fldCharType="end"/>
    </w:r>
  </w:p>
  <w:p w14:paraId="697F14F4" w14:textId="77777777" w:rsidR="00B53811" w:rsidRDefault="00B5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52980" w14:textId="77777777" w:rsidR="007F07AB" w:rsidRDefault="007F07AB">
      <w:pPr>
        <w:spacing w:after="0"/>
      </w:pPr>
      <w:r>
        <w:separator/>
      </w:r>
    </w:p>
  </w:footnote>
  <w:footnote w:type="continuationSeparator" w:id="0">
    <w:p w14:paraId="3C13282E" w14:textId="77777777" w:rsidR="007F07AB" w:rsidRDefault="007F07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14661A8"/>
    <w:multiLevelType w:val="multilevel"/>
    <w:tmpl w:val="6B12E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581754"/>
    <w:multiLevelType w:val="hybridMultilevel"/>
    <w:tmpl w:val="2E66685C"/>
    <w:lvl w:ilvl="0" w:tplc="D68A27D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5E7D61"/>
    <w:multiLevelType w:val="hybridMultilevel"/>
    <w:tmpl w:val="6EDA2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2F666FD"/>
    <w:multiLevelType w:val="hybridMultilevel"/>
    <w:tmpl w:val="8362D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4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A34518"/>
    <w:multiLevelType w:val="hybridMultilevel"/>
    <w:tmpl w:val="2E66685C"/>
    <w:lvl w:ilvl="0" w:tplc="D68A27D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2B1ED8"/>
    <w:multiLevelType w:val="hybridMultilevel"/>
    <w:tmpl w:val="C846CA34"/>
    <w:lvl w:ilvl="0" w:tplc="D68A27D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C07406"/>
    <w:multiLevelType w:val="hybridMultilevel"/>
    <w:tmpl w:val="91BC84F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1" w15:restartNumberingAfterBreak="0">
    <w:nsid w:val="754944AD"/>
    <w:multiLevelType w:val="hybridMultilevel"/>
    <w:tmpl w:val="BDF02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9"/>
  </w:num>
  <w:num w:numId="2">
    <w:abstractNumId w:val="15"/>
  </w:num>
  <w:num w:numId="3">
    <w:abstractNumId w:val="4"/>
  </w:num>
  <w:num w:numId="4">
    <w:abstractNumId w:val="5"/>
  </w:num>
  <w:num w:numId="5">
    <w:abstractNumId w:val="22"/>
  </w:num>
  <w:num w:numId="6">
    <w:abstractNumId w:val="13"/>
  </w:num>
  <w:num w:numId="7">
    <w:abstractNumId w:val="12"/>
  </w:num>
  <w:num w:numId="8">
    <w:abstractNumId w:val="20"/>
  </w:num>
  <w:num w:numId="9">
    <w:abstractNumId w:val="14"/>
  </w:num>
  <w:num w:numId="10">
    <w:abstractNumId w:val="7"/>
  </w:num>
  <w:num w:numId="11">
    <w:abstractNumId w:val="0"/>
  </w:num>
  <w:num w:numId="12">
    <w:abstractNumId w:val="1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7"/>
  </w:num>
  <w:num w:numId="16">
    <w:abstractNumId w:val="10"/>
  </w:num>
  <w:num w:numId="17">
    <w:abstractNumId w:val="8"/>
  </w:num>
  <w:num w:numId="18">
    <w:abstractNumId w:val="10"/>
    <w:lvlOverride w:ilvl="0">
      <w:startOverride w:val="1"/>
    </w:lvlOverride>
  </w:num>
  <w:num w:numId="19">
    <w:abstractNumId w:val="1"/>
  </w:num>
  <w:num w:numId="20">
    <w:abstractNumId w:val="19"/>
  </w:num>
  <w:num w:numId="21">
    <w:abstractNumId w:val="11"/>
  </w:num>
  <w:num w:numId="22">
    <w:abstractNumId w:val="21"/>
  </w:num>
  <w:num w:numId="23">
    <w:abstractNumId w:val="2"/>
  </w:num>
  <w:num w:numId="24">
    <w:abstractNumId w:val="16"/>
  </w:num>
  <w:num w:numId="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81"/>
    <w:rsid w:val="0000084E"/>
    <w:rsid w:val="0000125A"/>
    <w:rsid w:val="000016CB"/>
    <w:rsid w:val="00001AE6"/>
    <w:rsid w:val="00002886"/>
    <w:rsid w:val="00003B4F"/>
    <w:rsid w:val="00003C98"/>
    <w:rsid w:val="0000565D"/>
    <w:rsid w:val="00005738"/>
    <w:rsid w:val="00005A6C"/>
    <w:rsid w:val="00006377"/>
    <w:rsid w:val="000066B8"/>
    <w:rsid w:val="00006B42"/>
    <w:rsid w:val="000077D7"/>
    <w:rsid w:val="00007B59"/>
    <w:rsid w:val="00007ED0"/>
    <w:rsid w:val="00010A0B"/>
    <w:rsid w:val="00011412"/>
    <w:rsid w:val="000115E2"/>
    <w:rsid w:val="00011DBC"/>
    <w:rsid w:val="00012731"/>
    <w:rsid w:val="00012E25"/>
    <w:rsid w:val="00012E73"/>
    <w:rsid w:val="00013708"/>
    <w:rsid w:val="00013FAB"/>
    <w:rsid w:val="000143B2"/>
    <w:rsid w:val="000168E4"/>
    <w:rsid w:val="00016D5D"/>
    <w:rsid w:val="0001707C"/>
    <w:rsid w:val="0001748B"/>
    <w:rsid w:val="0002031F"/>
    <w:rsid w:val="00021603"/>
    <w:rsid w:val="00021763"/>
    <w:rsid w:val="000219E8"/>
    <w:rsid w:val="00021B29"/>
    <w:rsid w:val="00022105"/>
    <w:rsid w:val="00022F96"/>
    <w:rsid w:val="00023B32"/>
    <w:rsid w:val="00024911"/>
    <w:rsid w:val="000253A3"/>
    <w:rsid w:val="00025743"/>
    <w:rsid w:val="0002629D"/>
    <w:rsid w:val="0002662C"/>
    <w:rsid w:val="00026A37"/>
    <w:rsid w:val="000274D5"/>
    <w:rsid w:val="000275F7"/>
    <w:rsid w:val="00027986"/>
    <w:rsid w:val="0003119C"/>
    <w:rsid w:val="00031617"/>
    <w:rsid w:val="00031BD3"/>
    <w:rsid w:val="00031DD1"/>
    <w:rsid w:val="00032022"/>
    <w:rsid w:val="0003203E"/>
    <w:rsid w:val="000328BB"/>
    <w:rsid w:val="0003291B"/>
    <w:rsid w:val="00032C29"/>
    <w:rsid w:val="00032E2B"/>
    <w:rsid w:val="00032E55"/>
    <w:rsid w:val="00033559"/>
    <w:rsid w:val="00033A64"/>
    <w:rsid w:val="000342AB"/>
    <w:rsid w:val="00034B67"/>
    <w:rsid w:val="00035076"/>
    <w:rsid w:val="000361F9"/>
    <w:rsid w:val="00040D8C"/>
    <w:rsid w:val="0004162C"/>
    <w:rsid w:val="000419CB"/>
    <w:rsid w:val="00041B9D"/>
    <w:rsid w:val="00041F80"/>
    <w:rsid w:val="00042F24"/>
    <w:rsid w:val="0004367D"/>
    <w:rsid w:val="00043D30"/>
    <w:rsid w:val="00043F0F"/>
    <w:rsid w:val="000457E8"/>
    <w:rsid w:val="00045F01"/>
    <w:rsid w:val="0004667E"/>
    <w:rsid w:val="0004752B"/>
    <w:rsid w:val="0005054B"/>
    <w:rsid w:val="00050EE6"/>
    <w:rsid w:val="000516A4"/>
    <w:rsid w:val="00051D7F"/>
    <w:rsid w:val="00051F58"/>
    <w:rsid w:val="000524D1"/>
    <w:rsid w:val="000527DF"/>
    <w:rsid w:val="00052CA9"/>
    <w:rsid w:val="00052CDC"/>
    <w:rsid w:val="000533B6"/>
    <w:rsid w:val="00053943"/>
    <w:rsid w:val="000544B9"/>
    <w:rsid w:val="00055786"/>
    <w:rsid w:val="00055D46"/>
    <w:rsid w:val="00057C27"/>
    <w:rsid w:val="00060253"/>
    <w:rsid w:val="0006188F"/>
    <w:rsid w:val="00061A41"/>
    <w:rsid w:val="00061B91"/>
    <w:rsid w:val="00062093"/>
    <w:rsid w:val="000627D9"/>
    <w:rsid w:val="00062D14"/>
    <w:rsid w:val="000635DD"/>
    <w:rsid w:val="0006385A"/>
    <w:rsid w:val="00063996"/>
    <w:rsid w:val="00063E6E"/>
    <w:rsid w:val="00064124"/>
    <w:rsid w:val="000645E7"/>
    <w:rsid w:val="00064765"/>
    <w:rsid w:val="00064957"/>
    <w:rsid w:val="00064DD6"/>
    <w:rsid w:val="00065115"/>
    <w:rsid w:val="0006594D"/>
    <w:rsid w:val="000664B7"/>
    <w:rsid w:val="00066944"/>
    <w:rsid w:val="00066962"/>
    <w:rsid w:val="0006787F"/>
    <w:rsid w:val="0007019D"/>
    <w:rsid w:val="000701D2"/>
    <w:rsid w:val="00071260"/>
    <w:rsid w:val="00071BE4"/>
    <w:rsid w:val="000741AE"/>
    <w:rsid w:val="00075266"/>
    <w:rsid w:val="00075787"/>
    <w:rsid w:val="000758A8"/>
    <w:rsid w:val="00075A85"/>
    <w:rsid w:val="00075BD0"/>
    <w:rsid w:val="00075BF1"/>
    <w:rsid w:val="00075E66"/>
    <w:rsid w:val="00076036"/>
    <w:rsid w:val="00076621"/>
    <w:rsid w:val="0007747B"/>
    <w:rsid w:val="000777F4"/>
    <w:rsid w:val="00077A65"/>
    <w:rsid w:val="00080B18"/>
    <w:rsid w:val="00080BD4"/>
    <w:rsid w:val="0008166C"/>
    <w:rsid w:val="00082C7D"/>
    <w:rsid w:val="00082E60"/>
    <w:rsid w:val="00083211"/>
    <w:rsid w:val="00083AF0"/>
    <w:rsid w:val="00083BE4"/>
    <w:rsid w:val="000852A0"/>
    <w:rsid w:val="000856D9"/>
    <w:rsid w:val="00085FB8"/>
    <w:rsid w:val="00086688"/>
    <w:rsid w:val="00086A9E"/>
    <w:rsid w:val="00086F49"/>
    <w:rsid w:val="00090CFF"/>
    <w:rsid w:val="00091367"/>
    <w:rsid w:val="000917CF"/>
    <w:rsid w:val="00091F05"/>
    <w:rsid w:val="0009281C"/>
    <w:rsid w:val="00092906"/>
    <w:rsid w:val="00093F89"/>
    <w:rsid w:val="00094CFD"/>
    <w:rsid w:val="000950DA"/>
    <w:rsid w:val="00095300"/>
    <w:rsid w:val="0009679F"/>
    <w:rsid w:val="00096DF3"/>
    <w:rsid w:val="00096F38"/>
    <w:rsid w:val="0009728D"/>
    <w:rsid w:val="0009790F"/>
    <w:rsid w:val="000A0443"/>
    <w:rsid w:val="000A0A6A"/>
    <w:rsid w:val="000A1298"/>
    <w:rsid w:val="000A2BC4"/>
    <w:rsid w:val="000A3164"/>
    <w:rsid w:val="000A3447"/>
    <w:rsid w:val="000A3D1A"/>
    <w:rsid w:val="000A42F6"/>
    <w:rsid w:val="000A4C66"/>
    <w:rsid w:val="000A5B54"/>
    <w:rsid w:val="000A75BE"/>
    <w:rsid w:val="000B01D8"/>
    <w:rsid w:val="000B0C39"/>
    <w:rsid w:val="000B1BB7"/>
    <w:rsid w:val="000B2775"/>
    <w:rsid w:val="000B333D"/>
    <w:rsid w:val="000B4AE4"/>
    <w:rsid w:val="000B52E4"/>
    <w:rsid w:val="000B53AE"/>
    <w:rsid w:val="000B55CE"/>
    <w:rsid w:val="000B5691"/>
    <w:rsid w:val="000B57C6"/>
    <w:rsid w:val="000B6408"/>
    <w:rsid w:val="000B6A92"/>
    <w:rsid w:val="000B6CC0"/>
    <w:rsid w:val="000B741D"/>
    <w:rsid w:val="000C0818"/>
    <w:rsid w:val="000C0C22"/>
    <w:rsid w:val="000C1657"/>
    <w:rsid w:val="000C37BB"/>
    <w:rsid w:val="000C3A97"/>
    <w:rsid w:val="000C40DC"/>
    <w:rsid w:val="000C450F"/>
    <w:rsid w:val="000C4830"/>
    <w:rsid w:val="000C5048"/>
    <w:rsid w:val="000C5AE5"/>
    <w:rsid w:val="000C658F"/>
    <w:rsid w:val="000C689F"/>
    <w:rsid w:val="000C68E0"/>
    <w:rsid w:val="000C6BB4"/>
    <w:rsid w:val="000C731B"/>
    <w:rsid w:val="000C76EE"/>
    <w:rsid w:val="000C7989"/>
    <w:rsid w:val="000C7D11"/>
    <w:rsid w:val="000D06B8"/>
    <w:rsid w:val="000D08C1"/>
    <w:rsid w:val="000D0F7B"/>
    <w:rsid w:val="000D18B8"/>
    <w:rsid w:val="000D21FB"/>
    <w:rsid w:val="000D4249"/>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1E92"/>
    <w:rsid w:val="000F24B2"/>
    <w:rsid w:val="000F26FA"/>
    <w:rsid w:val="000F2B06"/>
    <w:rsid w:val="000F390A"/>
    <w:rsid w:val="000F3DD9"/>
    <w:rsid w:val="000F4CB7"/>
    <w:rsid w:val="000F506D"/>
    <w:rsid w:val="000F5B2B"/>
    <w:rsid w:val="000F68CB"/>
    <w:rsid w:val="000F7D6F"/>
    <w:rsid w:val="0010063E"/>
    <w:rsid w:val="0010098A"/>
    <w:rsid w:val="00100E22"/>
    <w:rsid w:val="001011C1"/>
    <w:rsid w:val="00101ADB"/>
    <w:rsid w:val="00101EF8"/>
    <w:rsid w:val="0010229A"/>
    <w:rsid w:val="00103C73"/>
    <w:rsid w:val="00105DBB"/>
    <w:rsid w:val="00105DCB"/>
    <w:rsid w:val="00105FA0"/>
    <w:rsid w:val="00106458"/>
    <w:rsid w:val="00106484"/>
    <w:rsid w:val="0010731F"/>
    <w:rsid w:val="0010753F"/>
    <w:rsid w:val="001108D4"/>
    <w:rsid w:val="00110E8D"/>
    <w:rsid w:val="001111B5"/>
    <w:rsid w:val="0011182E"/>
    <w:rsid w:val="00111C21"/>
    <w:rsid w:val="00111E45"/>
    <w:rsid w:val="00113A0F"/>
    <w:rsid w:val="0011416D"/>
    <w:rsid w:val="00114DA2"/>
    <w:rsid w:val="001155FA"/>
    <w:rsid w:val="00115E34"/>
    <w:rsid w:val="001160F9"/>
    <w:rsid w:val="0011617C"/>
    <w:rsid w:val="00116C4F"/>
    <w:rsid w:val="00116F02"/>
    <w:rsid w:val="00117AD4"/>
    <w:rsid w:val="00117D49"/>
    <w:rsid w:val="00120321"/>
    <w:rsid w:val="00120527"/>
    <w:rsid w:val="00120B28"/>
    <w:rsid w:val="00120CC2"/>
    <w:rsid w:val="0012227B"/>
    <w:rsid w:val="001227F5"/>
    <w:rsid w:val="00122C8A"/>
    <w:rsid w:val="00122E95"/>
    <w:rsid w:val="001237A0"/>
    <w:rsid w:val="001239B1"/>
    <w:rsid w:val="001240D1"/>
    <w:rsid w:val="00124562"/>
    <w:rsid w:val="00126ECD"/>
    <w:rsid w:val="00127697"/>
    <w:rsid w:val="00130E05"/>
    <w:rsid w:val="00131402"/>
    <w:rsid w:val="001326EC"/>
    <w:rsid w:val="001328BB"/>
    <w:rsid w:val="00134172"/>
    <w:rsid w:val="00135E56"/>
    <w:rsid w:val="0013623C"/>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47D89"/>
    <w:rsid w:val="00151262"/>
    <w:rsid w:val="00151BBD"/>
    <w:rsid w:val="00151D74"/>
    <w:rsid w:val="00151E0B"/>
    <w:rsid w:val="0015314E"/>
    <w:rsid w:val="00154A55"/>
    <w:rsid w:val="00154C91"/>
    <w:rsid w:val="001554A1"/>
    <w:rsid w:val="00155593"/>
    <w:rsid w:val="00156B0A"/>
    <w:rsid w:val="00156EFB"/>
    <w:rsid w:val="00157D54"/>
    <w:rsid w:val="00160A3A"/>
    <w:rsid w:val="00161773"/>
    <w:rsid w:val="00162193"/>
    <w:rsid w:val="00162354"/>
    <w:rsid w:val="001631DC"/>
    <w:rsid w:val="0016351A"/>
    <w:rsid w:val="00164786"/>
    <w:rsid w:val="00164C4C"/>
    <w:rsid w:val="00165132"/>
    <w:rsid w:val="00165554"/>
    <w:rsid w:val="001667B0"/>
    <w:rsid w:val="00166AB0"/>
    <w:rsid w:val="00166DD0"/>
    <w:rsid w:val="00167061"/>
    <w:rsid w:val="00167AB5"/>
    <w:rsid w:val="00167C60"/>
    <w:rsid w:val="00170893"/>
    <w:rsid w:val="001717AB"/>
    <w:rsid w:val="001717EE"/>
    <w:rsid w:val="00171B70"/>
    <w:rsid w:val="00171FE8"/>
    <w:rsid w:val="00172378"/>
    <w:rsid w:val="00174262"/>
    <w:rsid w:val="001746E5"/>
    <w:rsid w:val="00174F29"/>
    <w:rsid w:val="00175118"/>
    <w:rsid w:val="0017693F"/>
    <w:rsid w:val="00181C4E"/>
    <w:rsid w:val="0018294D"/>
    <w:rsid w:val="00185102"/>
    <w:rsid w:val="001857F4"/>
    <w:rsid w:val="0018599D"/>
    <w:rsid w:val="00186558"/>
    <w:rsid w:val="0018668C"/>
    <w:rsid w:val="00186871"/>
    <w:rsid w:val="00187872"/>
    <w:rsid w:val="00187DBE"/>
    <w:rsid w:val="001902C4"/>
    <w:rsid w:val="0019098A"/>
    <w:rsid w:val="00190FC9"/>
    <w:rsid w:val="0019382D"/>
    <w:rsid w:val="00193FA9"/>
    <w:rsid w:val="00194B27"/>
    <w:rsid w:val="00194E98"/>
    <w:rsid w:val="00195978"/>
    <w:rsid w:val="00195F18"/>
    <w:rsid w:val="0019702F"/>
    <w:rsid w:val="001A0DD6"/>
    <w:rsid w:val="001A15F6"/>
    <w:rsid w:val="001A2902"/>
    <w:rsid w:val="001A585A"/>
    <w:rsid w:val="001A5E55"/>
    <w:rsid w:val="001A67B7"/>
    <w:rsid w:val="001A775A"/>
    <w:rsid w:val="001A7A21"/>
    <w:rsid w:val="001B00A3"/>
    <w:rsid w:val="001B08B0"/>
    <w:rsid w:val="001B1C1D"/>
    <w:rsid w:val="001B2372"/>
    <w:rsid w:val="001B2648"/>
    <w:rsid w:val="001B265F"/>
    <w:rsid w:val="001B3212"/>
    <w:rsid w:val="001B3CCE"/>
    <w:rsid w:val="001B3D37"/>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68E5"/>
    <w:rsid w:val="001C701C"/>
    <w:rsid w:val="001C70C9"/>
    <w:rsid w:val="001C724D"/>
    <w:rsid w:val="001C777F"/>
    <w:rsid w:val="001C7855"/>
    <w:rsid w:val="001C7DEC"/>
    <w:rsid w:val="001C7FED"/>
    <w:rsid w:val="001D07FB"/>
    <w:rsid w:val="001D0825"/>
    <w:rsid w:val="001D1488"/>
    <w:rsid w:val="001D2161"/>
    <w:rsid w:val="001D217E"/>
    <w:rsid w:val="001D3D42"/>
    <w:rsid w:val="001D4E51"/>
    <w:rsid w:val="001D58FA"/>
    <w:rsid w:val="001D5E49"/>
    <w:rsid w:val="001E05FD"/>
    <w:rsid w:val="001E0F97"/>
    <w:rsid w:val="001E1219"/>
    <w:rsid w:val="001E194E"/>
    <w:rsid w:val="001E317A"/>
    <w:rsid w:val="001E3214"/>
    <w:rsid w:val="001E3F2B"/>
    <w:rsid w:val="001E62B9"/>
    <w:rsid w:val="001E6786"/>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161"/>
    <w:rsid w:val="001F7AAA"/>
    <w:rsid w:val="001F7B8F"/>
    <w:rsid w:val="002005B1"/>
    <w:rsid w:val="0020065D"/>
    <w:rsid w:val="00200CAC"/>
    <w:rsid w:val="00201997"/>
    <w:rsid w:val="002026BD"/>
    <w:rsid w:val="00202F44"/>
    <w:rsid w:val="00204330"/>
    <w:rsid w:val="00205C92"/>
    <w:rsid w:val="00205DD5"/>
    <w:rsid w:val="002075FB"/>
    <w:rsid w:val="00207C86"/>
    <w:rsid w:val="002102D9"/>
    <w:rsid w:val="00210E67"/>
    <w:rsid w:val="002116B7"/>
    <w:rsid w:val="00211992"/>
    <w:rsid w:val="00212026"/>
    <w:rsid w:val="002148E5"/>
    <w:rsid w:val="00214D8B"/>
    <w:rsid w:val="0021531A"/>
    <w:rsid w:val="00215684"/>
    <w:rsid w:val="002158FC"/>
    <w:rsid w:val="002167C9"/>
    <w:rsid w:val="00216990"/>
    <w:rsid w:val="00216A66"/>
    <w:rsid w:val="00216E10"/>
    <w:rsid w:val="0021743C"/>
    <w:rsid w:val="0021778A"/>
    <w:rsid w:val="0021796E"/>
    <w:rsid w:val="00217D92"/>
    <w:rsid w:val="002217F4"/>
    <w:rsid w:val="00221800"/>
    <w:rsid w:val="00222478"/>
    <w:rsid w:val="00222601"/>
    <w:rsid w:val="0022425F"/>
    <w:rsid w:val="00224A5E"/>
    <w:rsid w:val="00224C8F"/>
    <w:rsid w:val="002258E2"/>
    <w:rsid w:val="00225BED"/>
    <w:rsid w:val="00225C5E"/>
    <w:rsid w:val="00227D28"/>
    <w:rsid w:val="00227F0B"/>
    <w:rsid w:val="0023038D"/>
    <w:rsid w:val="00230532"/>
    <w:rsid w:val="00230961"/>
    <w:rsid w:val="0023116E"/>
    <w:rsid w:val="002317BA"/>
    <w:rsid w:val="0023198E"/>
    <w:rsid w:val="002338BF"/>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6876"/>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3D9A"/>
    <w:rsid w:val="00254016"/>
    <w:rsid w:val="00254BAD"/>
    <w:rsid w:val="00255EA4"/>
    <w:rsid w:val="002566F8"/>
    <w:rsid w:val="002576D0"/>
    <w:rsid w:val="00260407"/>
    <w:rsid w:val="002621A8"/>
    <w:rsid w:val="0026292D"/>
    <w:rsid w:val="00262C43"/>
    <w:rsid w:val="002634F5"/>
    <w:rsid w:val="0026376F"/>
    <w:rsid w:val="00263899"/>
    <w:rsid w:val="00264A00"/>
    <w:rsid w:val="00264BFA"/>
    <w:rsid w:val="0026507C"/>
    <w:rsid w:val="002656E7"/>
    <w:rsid w:val="002657F5"/>
    <w:rsid w:val="00266518"/>
    <w:rsid w:val="00270AD2"/>
    <w:rsid w:val="00271182"/>
    <w:rsid w:val="002719BB"/>
    <w:rsid w:val="0027322A"/>
    <w:rsid w:val="00274330"/>
    <w:rsid w:val="00274473"/>
    <w:rsid w:val="00274475"/>
    <w:rsid w:val="002752BF"/>
    <w:rsid w:val="00276319"/>
    <w:rsid w:val="0027684B"/>
    <w:rsid w:val="00277278"/>
    <w:rsid w:val="00277DBD"/>
    <w:rsid w:val="00277DF8"/>
    <w:rsid w:val="0028072B"/>
    <w:rsid w:val="00280ADA"/>
    <w:rsid w:val="00280DA0"/>
    <w:rsid w:val="002812D4"/>
    <w:rsid w:val="0028228F"/>
    <w:rsid w:val="002831B7"/>
    <w:rsid w:val="002837A2"/>
    <w:rsid w:val="00283B30"/>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2718"/>
    <w:rsid w:val="00294402"/>
    <w:rsid w:val="002946CC"/>
    <w:rsid w:val="00294E0A"/>
    <w:rsid w:val="00294EF5"/>
    <w:rsid w:val="0029574D"/>
    <w:rsid w:val="00295CB5"/>
    <w:rsid w:val="002A0094"/>
    <w:rsid w:val="002A1768"/>
    <w:rsid w:val="002A2086"/>
    <w:rsid w:val="002A469A"/>
    <w:rsid w:val="002A6E9A"/>
    <w:rsid w:val="002A7431"/>
    <w:rsid w:val="002A7A94"/>
    <w:rsid w:val="002A7F12"/>
    <w:rsid w:val="002B184B"/>
    <w:rsid w:val="002B540C"/>
    <w:rsid w:val="002B67F7"/>
    <w:rsid w:val="002B7701"/>
    <w:rsid w:val="002B7C56"/>
    <w:rsid w:val="002C13DD"/>
    <w:rsid w:val="002C2594"/>
    <w:rsid w:val="002C38EF"/>
    <w:rsid w:val="002C40A0"/>
    <w:rsid w:val="002C4349"/>
    <w:rsid w:val="002C4357"/>
    <w:rsid w:val="002C468B"/>
    <w:rsid w:val="002C48CE"/>
    <w:rsid w:val="002C494C"/>
    <w:rsid w:val="002C67D7"/>
    <w:rsid w:val="002C6AE6"/>
    <w:rsid w:val="002C6B38"/>
    <w:rsid w:val="002C7067"/>
    <w:rsid w:val="002C7874"/>
    <w:rsid w:val="002D0B99"/>
    <w:rsid w:val="002D21A2"/>
    <w:rsid w:val="002D23BD"/>
    <w:rsid w:val="002D3C51"/>
    <w:rsid w:val="002D451A"/>
    <w:rsid w:val="002D4B26"/>
    <w:rsid w:val="002D5659"/>
    <w:rsid w:val="002D5BA0"/>
    <w:rsid w:val="002D62A5"/>
    <w:rsid w:val="002D6427"/>
    <w:rsid w:val="002D783D"/>
    <w:rsid w:val="002E027A"/>
    <w:rsid w:val="002E040D"/>
    <w:rsid w:val="002E1EB1"/>
    <w:rsid w:val="002E2E75"/>
    <w:rsid w:val="002E30EA"/>
    <w:rsid w:val="002E38EA"/>
    <w:rsid w:val="002E484D"/>
    <w:rsid w:val="002E51CB"/>
    <w:rsid w:val="002E5956"/>
    <w:rsid w:val="002E5BFF"/>
    <w:rsid w:val="002E5CBF"/>
    <w:rsid w:val="002E5DF8"/>
    <w:rsid w:val="002F0103"/>
    <w:rsid w:val="002F078B"/>
    <w:rsid w:val="002F0ADF"/>
    <w:rsid w:val="002F1717"/>
    <w:rsid w:val="002F1C9E"/>
    <w:rsid w:val="002F1D3F"/>
    <w:rsid w:val="002F21B6"/>
    <w:rsid w:val="002F22C8"/>
    <w:rsid w:val="002F328D"/>
    <w:rsid w:val="002F3384"/>
    <w:rsid w:val="002F59F1"/>
    <w:rsid w:val="002F6B17"/>
    <w:rsid w:val="002F7026"/>
    <w:rsid w:val="002F7332"/>
    <w:rsid w:val="002F76BA"/>
    <w:rsid w:val="002F79B5"/>
    <w:rsid w:val="00300083"/>
    <w:rsid w:val="00300717"/>
    <w:rsid w:val="003023ED"/>
    <w:rsid w:val="003058F0"/>
    <w:rsid w:val="00305B40"/>
    <w:rsid w:val="0030615C"/>
    <w:rsid w:val="003078E4"/>
    <w:rsid w:val="00310073"/>
    <w:rsid w:val="00310B5E"/>
    <w:rsid w:val="00310DC8"/>
    <w:rsid w:val="00311187"/>
    <w:rsid w:val="00311571"/>
    <w:rsid w:val="00311F2A"/>
    <w:rsid w:val="0031288D"/>
    <w:rsid w:val="00312B8F"/>
    <w:rsid w:val="00312F3F"/>
    <w:rsid w:val="0031666A"/>
    <w:rsid w:val="00317660"/>
    <w:rsid w:val="00317C94"/>
    <w:rsid w:val="00317DD6"/>
    <w:rsid w:val="00320701"/>
    <w:rsid w:val="00320769"/>
    <w:rsid w:val="0032086C"/>
    <w:rsid w:val="0032253E"/>
    <w:rsid w:val="003226AE"/>
    <w:rsid w:val="00322B9E"/>
    <w:rsid w:val="00323018"/>
    <w:rsid w:val="00323C17"/>
    <w:rsid w:val="00324402"/>
    <w:rsid w:val="00324C45"/>
    <w:rsid w:val="003251EB"/>
    <w:rsid w:val="00325705"/>
    <w:rsid w:val="00325750"/>
    <w:rsid w:val="00325A4B"/>
    <w:rsid w:val="00325B07"/>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334"/>
    <w:rsid w:val="00343677"/>
    <w:rsid w:val="00343928"/>
    <w:rsid w:val="00343A2C"/>
    <w:rsid w:val="00344A8A"/>
    <w:rsid w:val="00344D27"/>
    <w:rsid w:val="00344DBB"/>
    <w:rsid w:val="00345218"/>
    <w:rsid w:val="00345482"/>
    <w:rsid w:val="003470DB"/>
    <w:rsid w:val="003474B3"/>
    <w:rsid w:val="003475D6"/>
    <w:rsid w:val="00347A9B"/>
    <w:rsid w:val="00347C4F"/>
    <w:rsid w:val="00351CB0"/>
    <w:rsid w:val="00352EDB"/>
    <w:rsid w:val="00353D4E"/>
    <w:rsid w:val="00353F0B"/>
    <w:rsid w:val="00354367"/>
    <w:rsid w:val="00354E4A"/>
    <w:rsid w:val="003550AC"/>
    <w:rsid w:val="003556DF"/>
    <w:rsid w:val="00355D2B"/>
    <w:rsid w:val="0035642D"/>
    <w:rsid w:val="003566E8"/>
    <w:rsid w:val="00356FE4"/>
    <w:rsid w:val="00357380"/>
    <w:rsid w:val="00357648"/>
    <w:rsid w:val="003579B4"/>
    <w:rsid w:val="00360B02"/>
    <w:rsid w:val="00362CDA"/>
    <w:rsid w:val="00363261"/>
    <w:rsid w:val="00363E3D"/>
    <w:rsid w:val="00364276"/>
    <w:rsid w:val="00364ED3"/>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5F26"/>
    <w:rsid w:val="00376045"/>
    <w:rsid w:val="00376207"/>
    <w:rsid w:val="00377E5B"/>
    <w:rsid w:val="0038096A"/>
    <w:rsid w:val="00380A33"/>
    <w:rsid w:val="00380A80"/>
    <w:rsid w:val="00380A9D"/>
    <w:rsid w:val="00380FA5"/>
    <w:rsid w:val="003816DD"/>
    <w:rsid w:val="00381997"/>
    <w:rsid w:val="00381C36"/>
    <w:rsid w:val="0038255F"/>
    <w:rsid w:val="00383527"/>
    <w:rsid w:val="00383FE9"/>
    <w:rsid w:val="00384707"/>
    <w:rsid w:val="00384D08"/>
    <w:rsid w:val="00384F28"/>
    <w:rsid w:val="00385E81"/>
    <w:rsid w:val="003860C5"/>
    <w:rsid w:val="00386DEE"/>
    <w:rsid w:val="00386FEC"/>
    <w:rsid w:val="0038734B"/>
    <w:rsid w:val="00387CAE"/>
    <w:rsid w:val="003903AD"/>
    <w:rsid w:val="00391508"/>
    <w:rsid w:val="00391A81"/>
    <w:rsid w:val="003928D4"/>
    <w:rsid w:val="00392CF0"/>
    <w:rsid w:val="003945C7"/>
    <w:rsid w:val="00395CA6"/>
    <w:rsid w:val="00396BFC"/>
    <w:rsid w:val="003A04DE"/>
    <w:rsid w:val="003A097F"/>
    <w:rsid w:val="003A0E21"/>
    <w:rsid w:val="003A1CAC"/>
    <w:rsid w:val="003A1E52"/>
    <w:rsid w:val="003A2337"/>
    <w:rsid w:val="003A271B"/>
    <w:rsid w:val="003A3192"/>
    <w:rsid w:val="003A3516"/>
    <w:rsid w:val="003A3CAA"/>
    <w:rsid w:val="003A3DB2"/>
    <w:rsid w:val="003A4687"/>
    <w:rsid w:val="003A67A7"/>
    <w:rsid w:val="003A71D6"/>
    <w:rsid w:val="003A7F86"/>
    <w:rsid w:val="003B00B8"/>
    <w:rsid w:val="003B0A4E"/>
    <w:rsid w:val="003B0CE4"/>
    <w:rsid w:val="003B26A7"/>
    <w:rsid w:val="003B283E"/>
    <w:rsid w:val="003B2E83"/>
    <w:rsid w:val="003B3A62"/>
    <w:rsid w:val="003B3B6E"/>
    <w:rsid w:val="003B3BB3"/>
    <w:rsid w:val="003B4E90"/>
    <w:rsid w:val="003B6186"/>
    <w:rsid w:val="003B678C"/>
    <w:rsid w:val="003B756C"/>
    <w:rsid w:val="003B7599"/>
    <w:rsid w:val="003B75CF"/>
    <w:rsid w:val="003B7AA2"/>
    <w:rsid w:val="003C004F"/>
    <w:rsid w:val="003C0C8A"/>
    <w:rsid w:val="003C0DEB"/>
    <w:rsid w:val="003C2469"/>
    <w:rsid w:val="003C2DCF"/>
    <w:rsid w:val="003C34C4"/>
    <w:rsid w:val="003C3DD3"/>
    <w:rsid w:val="003C42D1"/>
    <w:rsid w:val="003C5425"/>
    <w:rsid w:val="003C5702"/>
    <w:rsid w:val="003C58CC"/>
    <w:rsid w:val="003C5A92"/>
    <w:rsid w:val="003C5CF1"/>
    <w:rsid w:val="003C5DDC"/>
    <w:rsid w:val="003C6545"/>
    <w:rsid w:val="003C717D"/>
    <w:rsid w:val="003C7834"/>
    <w:rsid w:val="003C78B6"/>
    <w:rsid w:val="003C7D5B"/>
    <w:rsid w:val="003D03B5"/>
    <w:rsid w:val="003D0A76"/>
    <w:rsid w:val="003D1092"/>
    <w:rsid w:val="003D130F"/>
    <w:rsid w:val="003D1C0D"/>
    <w:rsid w:val="003D23B9"/>
    <w:rsid w:val="003D2BD7"/>
    <w:rsid w:val="003D2E04"/>
    <w:rsid w:val="003D3148"/>
    <w:rsid w:val="003D33D3"/>
    <w:rsid w:val="003D4BD5"/>
    <w:rsid w:val="003D56B9"/>
    <w:rsid w:val="003D6894"/>
    <w:rsid w:val="003D71E1"/>
    <w:rsid w:val="003E04CA"/>
    <w:rsid w:val="003E0F9E"/>
    <w:rsid w:val="003E1DB2"/>
    <w:rsid w:val="003E2D6B"/>
    <w:rsid w:val="003E37F4"/>
    <w:rsid w:val="003E3972"/>
    <w:rsid w:val="003E47B1"/>
    <w:rsid w:val="003E4EAC"/>
    <w:rsid w:val="003E5175"/>
    <w:rsid w:val="003E5632"/>
    <w:rsid w:val="003E5B37"/>
    <w:rsid w:val="003E625E"/>
    <w:rsid w:val="003E6618"/>
    <w:rsid w:val="003E690F"/>
    <w:rsid w:val="003E73F7"/>
    <w:rsid w:val="003E749F"/>
    <w:rsid w:val="003F0863"/>
    <w:rsid w:val="003F0E4E"/>
    <w:rsid w:val="003F1689"/>
    <w:rsid w:val="003F1CF9"/>
    <w:rsid w:val="003F2A15"/>
    <w:rsid w:val="003F3065"/>
    <w:rsid w:val="003F4191"/>
    <w:rsid w:val="003F4BE6"/>
    <w:rsid w:val="003F4F82"/>
    <w:rsid w:val="003F5031"/>
    <w:rsid w:val="003F5208"/>
    <w:rsid w:val="003F5F66"/>
    <w:rsid w:val="003F5FF3"/>
    <w:rsid w:val="003F6872"/>
    <w:rsid w:val="003F68F9"/>
    <w:rsid w:val="003F6951"/>
    <w:rsid w:val="003F77E1"/>
    <w:rsid w:val="003F7D0E"/>
    <w:rsid w:val="00400042"/>
    <w:rsid w:val="0040151E"/>
    <w:rsid w:val="004021B5"/>
    <w:rsid w:val="004034F3"/>
    <w:rsid w:val="00403693"/>
    <w:rsid w:val="00403C93"/>
    <w:rsid w:val="004060DF"/>
    <w:rsid w:val="00406511"/>
    <w:rsid w:val="004065E4"/>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E39"/>
    <w:rsid w:val="004241C8"/>
    <w:rsid w:val="004252E1"/>
    <w:rsid w:val="00425A0F"/>
    <w:rsid w:val="0042683F"/>
    <w:rsid w:val="00427854"/>
    <w:rsid w:val="00427BBB"/>
    <w:rsid w:val="00430676"/>
    <w:rsid w:val="004306A4"/>
    <w:rsid w:val="00430BDF"/>
    <w:rsid w:val="0043132D"/>
    <w:rsid w:val="00431F4F"/>
    <w:rsid w:val="004320B2"/>
    <w:rsid w:val="00433241"/>
    <w:rsid w:val="00433BBE"/>
    <w:rsid w:val="00434DDC"/>
    <w:rsid w:val="0043530D"/>
    <w:rsid w:val="004359EA"/>
    <w:rsid w:val="00436394"/>
    <w:rsid w:val="0043648F"/>
    <w:rsid w:val="004366D1"/>
    <w:rsid w:val="00437096"/>
    <w:rsid w:val="00437633"/>
    <w:rsid w:val="00437F40"/>
    <w:rsid w:val="00440AC3"/>
    <w:rsid w:val="0044131B"/>
    <w:rsid w:val="00442B2E"/>
    <w:rsid w:val="004435E8"/>
    <w:rsid w:val="0044374E"/>
    <w:rsid w:val="0044396C"/>
    <w:rsid w:val="00444674"/>
    <w:rsid w:val="00444FFB"/>
    <w:rsid w:val="004452B1"/>
    <w:rsid w:val="004466BD"/>
    <w:rsid w:val="0044766D"/>
    <w:rsid w:val="0044773F"/>
    <w:rsid w:val="00450EC3"/>
    <w:rsid w:val="00452029"/>
    <w:rsid w:val="00452088"/>
    <w:rsid w:val="004520D3"/>
    <w:rsid w:val="00452AF4"/>
    <w:rsid w:val="00452C95"/>
    <w:rsid w:val="0045494A"/>
    <w:rsid w:val="00457040"/>
    <w:rsid w:val="004572F4"/>
    <w:rsid w:val="00457889"/>
    <w:rsid w:val="00457973"/>
    <w:rsid w:val="00457B4D"/>
    <w:rsid w:val="00460231"/>
    <w:rsid w:val="00460374"/>
    <w:rsid w:val="00460A0B"/>
    <w:rsid w:val="0046195D"/>
    <w:rsid w:val="00462705"/>
    <w:rsid w:val="00462832"/>
    <w:rsid w:val="00462D34"/>
    <w:rsid w:val="004639B0"/>
    <w:rsid w:val="0046477B"/>
    <w:rsid w:val="00464FDC"/>
    <w:rsid w:val="004658BA"/>
    <w:rsid w:val="00465EC6"/>
    <w:rsid w:val="0046610F"/>
    <w:rsid w:val="004676F2"/>
    <w:rsid w:val="004718B6"/>
    <w:rsid w:val="0047426B"/>
    <w:rsid w:val="0047442B"/>
    <w:rsid w:val="00474C7B"/>
    <w:rsid w:val="00474F1D"/>
    <w:rsid w:val="004757D9"/>
    <w:rsid w:val="004766DD"/>
    <w:rsid w:val="00477401"/>
    <w:rsid w:val="004805D5"/>
    <w:rsid w:val="004826B7"/>
    <w:rsid w:val="004830D3"/>
    <w:rsid w:val="0048350C"/>
    <w:rsid w:val="00484673"/>
    <w:rsid w:val="0048467F"/>
    <w:rsid w:val="004846EA"/>
    <w:rsid w:val="00484F3B"/>
    <w:rsid w:val="0048557D"/>
    <w:rsid w:val="00485933"/>
    <w:rsid w:val="00485B66"/>
    <w:rsid w:val="0048719B"/>
    <w:rsid w:val="00487356"/>
    <w:rsid w:val="0048793D"/>
    <w:rsid w:val="00487BA5"/>
    <w:rsid w:val="00490F0F"/>
    <w:rsid w:val="00490FDB"/>
    <w:rsid w:val="00492038"/>
    <w:rsid w:val="00492419"/>
    <w:rsid w:val="00493E77"/>
    <w:rsid w:val="00494484"/>
    <w:rsid w:val="004951E2"/>
    <w:rsid w:val="00495910"/>
    <w:rsid w:val="00495DFD"/>
    <w:rsid w:val="00496E86"/>
    <w:rsid w:val="004A0233"/>
    <w:rsid w:val="004A0865"/>
    <w:rsid w:val="004A0DF4"/>
    <w:rsid w:val="004A0E2C"/>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A7E88"/>
    <w:rsid w:val="004B0212"/>
    <w:rsid w:val="004B0B7A"/>
    <w:rsid w:val="004B1614"/>
    <w:rsid w:val="004B3355"/>
    <w:rsid w:val="004B3ACB"/>
    <w:rsid w:val="004B46DC"/>
    <w:rsid w:val="004B4A26"/>
    <w:rsid w:val="004B4B8B"/>
    <w:rsid w:val="004B4C87"/>
    <w:rsid w:val="004B5A6A"/>
    <w:rsid w:val="004B6748"/>
    <w:rsid w:val="004B7536"/>
    <w:rsid w:val="004B7FB2"/>
    <w:rsid w:val="004C0844"/>
    <w:rsid w:val="004C0A63"/>
    <w:rsid w:val="004C13AB"/>
    <w:rsid w:val="004C27DA"/>
    <w:rsid w:val="004C3043"/>
    <w:rsid w:val="004C327E"/>
    <w:rsid w:val="004C3606"/>
    <w:rsid w:val="004C3E08"/>
    <w:rsid w:val="004C4873"/>
    <w:rsid w:val="004C528B"/>
    <w:rsid w:val="004C5B97"/>
    <w:rsid w:val="004C5D9C"/>
    <w:rsid w:val="004C634F"/>
    <w:rsid w:val="004C6A52"/>
    <w:rsid w:val="004C7501"/>
    <w:rsid w:val="004D06D7"/>
    <w:rsid w:val="004D0906"/>
    <w:rsid w:val="004D1527"/>
    <w:rsid w:val="004D275B"/>
    <w:rsid w:val="004D2B1F"/>
    <w:rsid w:val="004D3C11"/>
    <w:rsid w:val="004D3DE9"/>
    <w:rsid w:val="004D3F72"/>
    <w:rsid w:val="004D423F"/>
    <w:rsid w:val="004D4921"/>
    <w:rsid w:val="004D4B0A"/>
    <w:rsid w:val="004D4D67"/>
    <w:rsid w:val="004D50CE"/>
    <w:rsid w:val="004D557A"/>
    <w:rsid w:val="004D7803"/>
    <w:rsid w:val="004D7D32"/>
    <w:rsid w:val="004E1CF0"/>
    <w:rsid w:val="004E3D95"/>
    <w:rsid w:val="004E4B2C"/>
    <w:rsid w:val="004E53E5"/>
    <w:rsid w:val="004E5A59"/>
    <w:rsid w:val="004E5B16"/>
    <w:rsid w:val="004E6940"/>
    <w:rsid w:val="004E6995"/>
    <w:rsid w:val="004E6C87"/>
    <w:rsid w:val="004E7317"/>
    <w:rsid w:val="004F0CC9"/>
    <w:rsid w:val="004F143B"/>
    <w:rsid w:val="004F1584"/>
    <w:rsid w:val="004F1B3C"/>
    <w:rsid w:val="004F1F46"/>
    <w:rsid w:val="004F2929"/>
    <w:rsid w:val="004F38D3"/>
    <w:rsid w:val="004F39CB"/>
    <w:rsid w:val="004F3F35"/>
    <w:rsid w:val="004F44D8"/>
    <w:rsid w:val="004F4F3D"/>
    <w:rsid w:val="004F774F"/>
    <w:rsid w:val="004F7782"/>
    <w:rsid w:val="005010D9"/>
    <w:rsid w:val="005012A4"/>
    <w:rsid w:val="0050138F"/>
    <w:rsid w:val="005013F7"/>
    <w:rsid w:val="00501D5A"/>
    <w:rsid w:val="00502EE1"/>
    <w:rsid w:val="00504224"/>
    <w:rsid w:val="0050440A"/>
    <w:rsid w:val="00504ACA"/>
    <w:rsid w:val="00504C1E"/>
    <w:rsid w:val="00504D61"/>
    <w:rsid w:val="00504EF3"/>
    <w:rsid w:val="005076DE"/>
    <w:rsid w:val="005104F1"/>
    <w:rsid w:val="00510888"/>
    <w:rsid w:val="00510D0C"/>
    <w:rsid w:val="00510E62"/>
    <w:rsid w:val="00511EFF"/>
    <w:rsid w:val="00511FD6"/>
    <w:rsid w:val="0051210E"/>
    <w:rsid w:val="00512CFC"/>
    <w:rsid w:val="0051381F"/>
    <w:rsid w:val="005142C5"/>
    <w:rsid w:val="00514D0C"/>
    <w:rsid w:val="00516091"/>
    <w:rsid w:val="0051773A"/>
    <w:rsid w:val="00517E7B"/>
    <w:rsid w:val="0052064A"/>
    <w:rsid w:val="00520827"/>
    <w:rsid w:val="005209C0"/>
    <w:rsid w:val="0052166B"/>
    <w:rsid w:val="0052174B"/>
    <w:rsid w:val="00523BD2"/>
    <w:rsid w:val="0052401A"/>
    <w:rsid w:val="005244B8"/>
    <w:rsid w:val="0052475A"/>
    <w:rsid w:val="005247B0"/>
    <w:rsid w:val="005250B6"/>
    <w:rsid w:val="00527718"/>
    <w:rsid w:val="00527922"/>
    <w:rsid w:val="00527BF7"/>
    <w:rsid w:val="005305E9"/>
    <w:rsid w:val="0053085E"/>
    <w:rsid w:val="00530901"/>
    <w:rsid w:val="00530B0F"/>
    <w:rsid w:val="00530C77"/>
    <w:rsid w:val="005310EC"/>
    <w:rsid w:val="005321E8"/>
    <w:rsid w:val="00533121"/>
    <w:rsid w:val="00533D89"/>
    <w:rsid w:val="00533F3D"/>
    <w:rsid w:val="00533F70"/>
    <w:rsid w:val="0053556D"/>
    <w:rsid w:val="005355CB"/>
    <w:rsid w:val="005356E9"/>
    <w:rsid w:val="00535B17"/>
    <w:rsid w:val="005361B9"/>
    <w:rsid w:val="005375E7"/>
    <w:rsid w:val="0053769C"/>
    <w:rsid w:val="00537AF4"/>
    <w:rsid w:val="00537C48"/>
    <w:rsid w:val="00540556"/>
    <w:rsid w:val="005408FE"/>
    <w:rsid w:val="00541AD0"/>
    <w:rsid w:val="00541B7A"/>
    <w:rsid w:val="00542503"/>
    <w:rsid w:val="00542B65"/>
    <w:rsid w:val="00542BD7"/>
    <w:rsid w:val="00542F1A"/>
    <w:rsid w:val="00544606"/>
    <w:rsid w:val="0054593B"/>
    <w:rsid w:val="00546CA0"/>
    <w:rsid w:val="00547281"/>
    <w:rsid w:val="00547996"/>
    <w:rsid w:val="005500B9"/>
    <w:rsid w:val="0055027B"/>
    <w:rsid w:val="00550D82"/>
    <w:rsid w:val="00550EAE"/>
    <w:rsid w:val="005510C8"/>
    <w:rsid w:val="005514E5"/>
    <w:rsid w:val="00551890"/>
    <w:rsid w:val="0055262D"/>
    <w:rsid w:val="00552DD4"/>
    <w:rsid w:val="00552E5A"/>
    <w:rsid w:val="00552F9B"/>
    <w:rsid w:val="005530F3"/>
    <w:rsid w:val="0055355A"/>
    <w:rsid w:val="00553BDD"/>
    <w:rsid w:val="00554529"/>
    <w:rsid w:val="00554565"/>
    <w:rsid w:val="0055488C"/>
    <w:rsid w:val="005549AD"/>
    <w:rsid w:val="00555FF6"/>
    <w:rsid w:val="00556A7F"/>
    <w:rsid w:val="00556C71"/>
    <w:rsid w:val="00556F1C"/>
    <w:rsid w:val="0056020C"/>
    <w:rsid w:val="0056098F"/>
    <w:rsid w:val="00561950"/>
    <w:rsid w:val="00561BFD"/>
    <w:rsid w:val="005633B6"/>
    <w:rsid w:val="00563BC9"/>
    <w:rsid w:val="0056421B"/>
    <w:rsid w:val="00571662"/>
    <w:rsid w:val="00571F7A"/>
    <w:rsid w:val="0057220C"/>
    <w:rsid w:val="00572A62"/>
    <w:rsid w:val="00572B39"/>
    <w:rsid w:val="00572B80"/>
    <w:rsid w:val="00572BC5"/>
    <w:rsid w:val="00573BA3"/>
    <w:rsid w:val="00574CD8"/>
    <w:rsid w:val="00575C1C"/>
    <w:rsid w:val="00576673"/>
    <w:rsid w:val="00577440"/>
    <w:rsid w:val="005805C1"/>
    <w:rsid w:val="00581A43"/>
    <w:rsid w:val="00581D63"/>
    <w:rsid w:val="00582196"/>
    <w:rsid w:val="00582647"/>
    <w:rsid w:val="00582CEA"/>
    <w:rsid w:val="00582DD6"/>
    <w:rsid w:val="0058350D"/>
    <w:rsid w:val="0058369B"/>
    <w:rsid w:val="00584ED0"/>
    <w:rsid w:val="00585239"/>
    <w:rsid w:val="00585B24"/>
    <w:rsid w:val="00586F01"/>
    <w:rsid w:val="005871AA"/>
    <w:rsid w:val="00587855"/>
    <w:rsid w:val="00587A0B"/>
    <w:rsid w:val="00587B67"/>
    <w:rsid w:val="00587CE2"/>
    <w:rsid w:val="00592E3C"/>
    <w:rsid w:val="00593628"/>
    <w:rsid w:val="00596401"/>
    <w:rsid w:val="0059642E"/>
    <w:rsid w:val="00596FE2"/>
    <w:rsid w:val="00597A8A"/>
    <w:rsid w:val="00597F06"/>
    <w:rsid w:val="005A136B"/>
    <w:rsid w:val="005A2565"/>
    <w:rsid w:val="005A3066"/>
    <w:rsid w:val="005A3401"/>
    <w:rsid w:val="005A3EA3"/>
    <w:rsid w:val="005A4641"/>
    <w:rsid w:val="005A5067"/>
    <w:rsid w:val="005A567C"/>
    <w:rsid w:val="005A583E"/>
    <w:rsid w:val="005A5D30"/>
    <w:rsid w:val="005A5F83"/>
    <w:rsid w:val="005A7042"/>
    <w:rsid w:val="005A72D5"/>
    <w:rsid w:val="005A7412"/>
    <w:rsid w:val="005A779E"/>
    <w:rsid w:val="005A7AC2"/>
    <w:rsid w:val="005B02AA"/>
    <w:rsid w:val="005B0490"/>
    <w:rsid w:val="005B0DEC"/>
    <w:rsid w:val="005B0ED2"/>
    <w:rsid w:val="005B1203"/>
    <w:rsid w:val="005B197E"/>
    <w:rsid w:val="005B1FB6"/>
    <w:rsid w:val="005B3E61"/>
    <w:rsid w:val="005B42EC"/>
    <w:rsid w:val="005B5911"/>
    <w:rsid w:val="005B67C0"/>
    <w:rsid w:val="005C0C5D"/>
    <w:rsid w:val="005C29BA"/>
    <w:rsid w:val="005C2A15"/>
    <w:rsid w:val="005C2BF4"/>
    <w:rsid w:val="005C3D78"/>
    <w:rsid w:val="005C4202"/>
    <w:rsid w:val="005C43B5"/>
    <w:rsid w:val="005C4EA9"/>
    <w:rsid w:val="005C5422"/>
    <w:rsid w:val="005C571D"/>
    <w:rsid w:val="005C59A6"/>
    <w:rsid w:val="005C5F92"/>
    <w:rsid w:val="005C69D7"/>
    <w:rsid w:val="005C723B"/>
    <w:rsid w:val="005C7925"/>
    <w:rsid w:val="005C7DE8"/>
    <w:rsid w:val="005D042E"/>
    <w:rsid w:val="005D094C"/>
    <w:rsid w:val="005D0D10"/>
    <w:rsid w:val="005D185E"/>
    <w:rsid w:val="005D1E7C"/>
    <w:rsid w:val="005D20F0"/>
    <w:rsid w:val="005D2548"/>
    <w:rsid w:val="005D25C7"/>
    <w:rsid w:val="005D2965"/>
    <w:rsid w:val="005D2987"/>
    <w:rsid w:val="005D3563"/>
    <w:rsid w:val="005D3722"/>
    <w:rsid w:val="005D3E60"/>
    <w:rsid w:val="005D519D"/>
    <w:rsid w:val="005D5852"/>
    <w:rsid w:val="005D783F"/>
    <w:rsid w:val="005E038F"/>
    <w:rsid w:val="005E15CA"/>
    <w:rsid w:val="005E170E"/>
    <w:rsid w:val="005E1A0F"/>
    <w:rsid w:val="005E2368"/>
    <w:rsid w:val="005E325B"/>
    <w:rsid w:val="005E3890"/>
    <w:rsid w:val="005E4B5F"/>
    <w:rsid w:val="005E524E"/>
    <w:rsid w:val="005E582A"/>
    <w:rsid w:val="005E5ADF"/>
    <w:rsid w:val="005E5F49"/>
    <w:rsid w:val="005E6749"/>
    <w:rsid w:val="005E676A"/>
    <w:rsid w:val="005E68A3"/>
    <w:rsid w:val="005E7165"/>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14AA"/>
    <w:rsid w:val="006016D5"/>
    <w:rsid w:val="006038B7"/>
    <w:rsid w:val="00603A51"/>
    <w:rsid w:val="00603C0A"/>
    <w:rsid w:val="0060453A"/>
    <w:rsid w:val="00606545"/>
    <w:rsid w:val="006075E0"/>
    <w:rsid w:val="006104FA"/>
    <w:rsid w:val="00610D80"/>
    <w:rsid w:val="0061160C"/>
    <w:rsid w:val="00611661"/>
    <w:rsid w:val="00612226"/>
    <w:rsid w:val="00612577"/>
    <w:rsid w:val="006147CE"/>
    <w:rsid w:val="00614E55"/>
    <w:rsid w:val="00615A99"/>
    <w:rsid w:val="0061645C"/>
    <w:rsid w:val="00616BA0"/>
    <w:rsid w:val="00616C90"/>
    <w:rsid w:val="00616F05"/>
    <w:rsid w:val="00617B1C"/>
    <w:rsid w:val="00620828"/>
    <w:rsid w:val="006210FA"/>
    <w:rsid w:val="006213E1"/>
    <w:rsid w:val="0062161A"/>
    <w:rsid w:val="0062165D"/>
    <w:rsid w:val="0062287F"/>
    <w:rsid w:val="00622A39"/>
    <w:rsid w:val="0062448A"/>
    <w:rsid w:val="006252BB"/>
    <w:rsid w:val="006256A6"/>
    <w:rsid w:val="00625BBE"/>
    <w:rsid w:val="006263EB"/>
    <w:rsid w:val="00626592"/>
    <w:rsid w:val="006268AA"/>
    <w:rsid w:val="006272FF"/>
    <w:rsid w:val="006303B3"/>
    <w:rsid w:val="00630510"/>
    <w:rsid w:val="006305DE"/>
    <w:rsid w:val="006316FF"/>
    <w:rsid w:val="00631C1E"/>
    <w:rsid w:val="0063223E"/>
    <w:rsid w:val="006328DC"/>
    <w:rsid w:val="00632B47"/>
    <w:rsid w:val="0063317A"/>
    <w:rsid w:val="00633F33"/>
    <w:rsid w:val="00634391"/>
    <w:rsid w:val="00634B3A"/>
    <w:rsid w:val="00634FF5"/>
    <w:rsid w:val="00636F3C"/>
    <w:rsid w:val="0063734A"/>
    <w:rsid w:val="0063758C"/>
    <w:rsid w:val="00637D49"/>
    <w:rsid w:val="0064048F"/>
    <w:rsid w:val="0064084C"/>
    <w:rsid w:val="00640C25"/>
    <w:rsid w:val="006413B0"/>
    <w:rsid w:val="006415F0"/>
    <w:rsid w:val="00641DA2"/>
    <w:rsid w:val="006426CA"/>
    <w:rsid w:val="00642E66"/>
    <w:rsid w:val="0064387A"/>
    <w:rsid w:val="0064403F"/>
    <w:rsid w:val="0064433F"/>
    <w:rsid w:val="006462F0"/>
    <w:rsid w:val="006500A5"/>
    <w:rsid w:val="006500F8"/>
    <w:rsid w:val="006508EF"/>
    <w:rsid w:val="00650D0C"/>
    <w:rsid w:val="006511A7"/>
    <w:rsid w:val="006516F7"/>
    <w:rsid w:val="00651C1F"/>
    <w:rsid w:val="00652A0E"/>
    <w:rsid w:val="00652F03"/>
    <w:rsid w:val="0065338F"/>
    <w:rsid w:val="00653B63"/>
    <w:rsid w:val="00653BCD"/>
    <w:rsid w:val="00653E78"/>
    <w:rsid w:val="006544B3"/>
    <w:rsid w:val="00654596"/>
    <w:rsid w:val="00654DE7"/>
    <w:rsid w:val="006552BD"/>
    <w:rsid w:val="006559B4"/>
    <w:rsid w:val="00655C0D"/>
    <w:rsid w:val="006566A7"/>
    <w:rsid w:val="00656913"/>
    <w:rsid w:val="00656F67"/>
    <w:rsid w:val="00657B34"/>
    <w:rsid w:val="00657D40"/>
    <w:rsid w:val="00657E50"/>
    <w:rsid w:val="00660680"/>
    <w:rsid w:val="00660733"/>
    <w:rsid w:val="006608B9"/>
    <w:rsid w:val="006621EB"/>
    <w:rsid w:val="006632A1"/>
    <w:rsid w:val="006645FE"/>
    <w:rsid w:val="00664C86"/>
    <w:rsid w:val="00664F63"/>
    <w:rsid w:val="00665D4E"/>
    <w:rsid w:val="00666D33"/>
    <w:rsid w:val="00667675"/>
    <w:rsid w:val="00667DB7"/>
    <w:rsid w:val="00667F1E"/>
    <w:rsid w:val="006700E2"/>
    <w:rsid w:val="006719B8"/>
    <w:rsid w:val="00671C19"/>
    <w:rsid w:val="006722DE"/>
    <w:rsid w:val="006723A7"/>
    <w:rsid w:val="00674AF1"/>
    <w:rsid w:val="006750FA"/>
    <w:rsid w:val="006767B0"/>
    <w:rsid w:val="006768F3"/>
    <w:rsid w:val="00676ACA"/>
    <w:rsid w:val="00676D0B"/>
    <w:rsid w:val="00676EF9"/>
    <w:rsid w:val="006772CC"/>
    <w:rsid w:val="0067765E"/>
    <w:rsid w:val="006777E2"/>
    <w:rsid w:val="00677814"/>
    <w:rsid w:val="00677B75"/>
    <w:rsid w:val="006817A3"/>
    <w:rsid w:val="006819C4"/>
    <w:rsid w:val="00681C18"/>
    <w:rsid w:val="00681CF9"/>
    <w:rsid w:val="00684BB2"/>
    <w:rsid w:val="00684DA0"/>
    <w:rsid w:val="006854F8"/>
    <w:rsid w:val="006867CE"/>
    <w:rsid w:val="00686FEE"/>
    <w:rsid w:val="006870E4"/>
    <w:rsid w:val="00687A3D"/>
    <w:rsid w:val="00687FD5"/>
    <w:rsid w:val="00690458"/>
    <w:rsid w:val="006904F9"/>
    <w:rsid w:val="0069256C"/>
    <w:rsid w:val="00692951"/>
    <w:rsid w:val="00692F5D"/>
    <w:rsid w:val="006935CC"/>
    <w:rsid w:val="006935E7"/>
    <w:rsid w:val="00693871"/>
    <w:rsid w:val="006940E7"/>
    <w:rsid w:val="0069440D"/>
    <w:rsid w:val="0069440F"/>
    <w:rsid w:val="0069449C"/>
    <w:rsid w:val="00694A69"/>
    <w:rsid w:val="00694AAE"/>
    <w:rsid w:val="00694C56"/>
    <w:rsid w:val="00694EC5"/>
    <w:rsid w:val="006950D9"/>
    <w:rsid w:val="00695B02"/>
    <w:rsid w:val="0069658D"/>
    <w:rsid w:val="00696F3D"/>
    <w:rsid w:val="006A06AC"/>
    <w:rsid w:val="006A12E8"/>
    <w:rsid w:val="006A1957"/>
    <w:rsid w:val="006A260E"/>
    <w:rsid w:val="006A2FF1"/>
    <w:rsid w:val="006A3505"/>
    <w:rsid w:val="006A3638"/>
    <w:rsid w:val="006A49F3"/>
    <w:rsid w:val="006A4AD8"/>
    <w:rsid w:val="006A4F38"/>
    <w:rsid w:val="006A5122"/>
    <w:rsid w:val="006A5D8E"/>
    <w:rsid w:val="006A5E73"/>
    <w:rsid w:val="006A6645"/>
    <w:rsid w:val="006A7BA3"/>
    <w:rsid w:val="006B0DFB"/>
    <w:rsid w:val="006B0E53"/>
    <w:rsid w:val="006B12CB"/>
    <w:rsid w:val="006B1FB7"/>
    <w:rsid w:val="006B288F"/>
    <w:rsid w:val="006B28E9"/>
    <w:rsid w:val="006B2A3E"/>
    <w:rsid w:val="006B2EA0"/>
    <w:rsid w:val="006B304D"/>
    <w:rsid w:val="006B344A"/>
    <w:rsid w:val="006B3659"/>
    <w:rsid w:val="006B370C"/>
    <w:rsid w:val="006B4280"/>
    <w:rsid w:val="006B4A76"/>
    <w:rsid w:val="006B6C66"/>
    <w:rsid w:val="006B6DFD"/>
    <w:rsid w:val="006B6F1A"/>
    <w:rsid w:val="006B7896"/>
    <w:rsid w:val="006C0997"/>
    <w:rsid w:val="006C0D1F"/>
    <w:rsid w:val="006C1719"/>
    <w:rsid w:val="006C24A5"/>
    <w:rsid w:val="006C2693"/>
    <w:rsid w:val="006C2913"/>
    <w:rsid w:val="006C3D77"/>
    <w:rsid w:val="006C4239"/>
    <w:rsid w:val="006C4A39"/>
    <w:rsid w:val="006C5797"/>
    <w:rsid w:val="006C6182"/>
    <w:rsid w:val="006C61C4"/>
    <w:rsid w:val="006C62CB"/>
    <w:rsid w:val="006C6679"/>
    <w:rsid w:val="006C6847"/>
    <w:rsid w:val="006C6AAF"/>
    <w:rsid w:val="006C72E2"/>
    <w:rsid w:val="006D027B"/>
    <w:rsid w:val="006D03F2"/>
    <w:rsid w:val="006D0758"/>
    <w:rsid w:val="006D0CC0"/>
    <w:rsid w:val="006D167D"/>
    <w:rsid w:val="006D19D0"/>
    <w:rsid w:val="006D24B2"/>
    <w:rsid w:val="006D3ED9"/>
    <w:rsid w:val="006D5D24"/>
    <w:rsid w:val="006D62F3"/>
    <w:rsid w:val="006D6CB1"/>
    <w:rsid w:val="006E0B93"/>
    <w:rsid w:val="006E1338"/>
    <w:rsid w:val="006E1537"/>
    <w:rsid w:val="006E246F"/>
    <w:rsid w:val="006E3E31"/>
    <w:rsid w:val="006E4566"/>
    <w:rsid w:val="006E5A26"/>
    <w:rsid w:val="006E5A85"/>
    <w:rsid w:val="006E5B16"/>
    <w:rsid w:val="006E6F14"/>
    <w:rsid w:val="006E7B54"/>
    <w:rsid w:val="006F02CD"/>
    <w:rsid w:val="006F0F47"/>
    <w:rsid w:val="006F126A"/>
    <w:rsid w:val="006F1D8F"/>
    <w:rsid w:val="006F3742"/>
    <w:rsid w:val="006F44E6"/>
    <w:rsid w:val="006F5421"/>
    <w:rsid w:val="006F6513"/>
    <w:rsid w:val="006F6744"/>
    <w:rsid w:val="006F7E01"/>
    <w:rsid w:val="006F7EFF"/>
    <w:rsid w:val="0070029B"/>
    <w:rsid w:val="00700461"/>
    <w:rsid w:val="007009C2"/>
    <w:rsid w:val="00700E1A"/>
    <w:rsid w:val="0070153A"/>
    <w:rsid w:val="00701A2C"/>
    <w:rsid w:val="00701AB4"/>
    <w:rsid w:val="00701C12"/>
    <w:rsid w:val="0070205B"/>
    <w:rsid w:val="00703432"/>
    <w:rsid w:val="0070442D"/>
    <w:rsid w:val="00704A47"/>
    <w:rsid w:val="00704C3A"/>
    <w:rsid w:val="00704C7C"/>
    <w:rsid w:val="00704F7F"/>
    <w:rsid w:val="00706C74"/>
    <w:rsid w:val="00706CFD"/>
    <w:rsid w:val="00710579"/>
    <w:rsid w:val="00711337"/>
    <w:rsid w:val="007124CD"/>
    <w:rsid w:val="00713F77"/>
    <w:rsid w:val="0071431F"/>
    <w:rsid w:val="00714B94"/>
    <w:rsid w:val="007155E8"/>
    <w:rsid w:val="007165D4"/>
    <w:rsid w:val="007170A1"/>
    <w:rsid w:val="0071725B"/>
    <w:rsid w:val="0072039D"/>
    <w:rsid w:val="0072042B"/>
    <w:rsid w:val="00720611"/>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3D9C"/>
    <w:rsid w:val="007350DF"/>
    <w:rsid w:val="00735DC5"/>
    <w:rsid w:val="00736484"/>
    <w:rsid w:val="007376F3"/>
    <w:rsid w:val="00737877"/>
    <w:rsid w:val="00740454"/>
    <w:rsid w:val="00741283"/>
    <w:rsid w:val="00741401"/>
    <w:rsid w:val="00741EE1"/>
    <w:rsid w:val="00741F08"/>
    <w:rsid w:val="0074382F"/>
    <w:rsid w:val="00743C5B"/>
    <w:rsid w:val="00744D23"/>
    <w:rsid w:val="00745B7E"/>
    <w:rsid w:val="007462BF"/>
    <w:rsid w:val="00746C36"/>
    <w:rsid w:val="00751778"/>
    <w:rsid w:val="007520BB"/>
    <w:rsid w:val="00752CE0"/>
    <w:rsid w:val="00752DA7"/>
    <w:rsid w:val="00753A91"/>
    <w:rsid w:val="00753B94"/>
    <w:rsid w:val="00754786"/>
    <w:rsid w:val="007549CF"/>
    <w:rsid w:val="00754B60"/>
    <w:rsid w:val="00754C39"/>
    <w:rsid w:val="00754F4F"/>
    <w:rsid w:val="007556BF"/>
    <w:rsid w:val="00757E04"/>
    <w:rsid w:val="00760964"/>
    <w:rsid w:val="00761B07"/>
    <w:rsid w:val="007624C5"/>
    <w:rsid w:val="0076297D"/>
    <w:rsid w:val="007641E4"/>
    <w:rsid w:val="00764754"/>
    <w:rsid w:val="00764914"/>
    <w:rsid w:val="007652FF"/>
    <w:rsid w:val="00765307"/>
    <w:rsid w:val="00765B83"/>
    <w:rsid w:val="00766CE6"/>
    <w:rsid w:val="00767035"/>
    <w:rsid w:val="00767769"/>
    <w:rsid w:val="007711C9"/>
    <w:rsid w:val="00771409"/>
    <w:rsid w:val="00771D80"/>
    <w:rsid w:val="00771F62"/>
    <w:rsid w:val="0077439C"/>
    <w:rsid w:val="00774A7E"/>
    <w:rsid w:val="007761C4"/>
    <w:rsid w:val="00776F02"/>
    <w:rsid w:val="00776FA3"/>
    <w:rsid w:val="0077740C"/>
    <w:rsid w:val="00777D62"/>
    <w:rsid w:val="007808E6"/>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0A6"/>
    <w:rsid w:val="007903B9"/>
    <w:rsid w:val="0079169F"/>
    <w:rsid w:val="0079222C"/>
    <w:rsid w:val="00792757"/>
    <w:rsid w:val="007930F3"/>
    <w:rsid w:val="00793168"/>
    <w:rsid w:val="00793198"/>
    <w:rsid w:val="00794D2D"/>
    <w:rsid w:val="00796915"/>
    <w:rsid w:val="00796E27"/>
    <w:rsid w:val="007973E6"/>
    <w:rsid w:val="007A060F"/>
    <w:rsid w:val="007A0963"/>
    <w:rsid w:val="007A0D55"/>
    <w:rsid w:val="007A1336"/>
    <w:rsid w:val="007A18A9"/>
    <w:rsid w:val="007A2B2E"/>
    <w:rsid w:val="007A5431"/>
    <w:rsid w:val="007A58DE"/>
    <w:rsid w:val="007A614B"/>
    <w:rsid w:val="007A6EC1"/>
    <w:rsid w:val="007A7940"/>
    <w:rsid w:val="007A7BD1"/>
    <w:rsid w:val="007A7FC8"/>
    <w:rsid w:val="007B04E9"/>
    <w:rsid w:val="007B0FC4"/>
    <w:rsid w:val="007B1A19"/>
    <w:rsid w:val="007B2273"/>
    <w:rsid w:val="007B36C8"/>
    <w:rsid w:val="007B4593"/>
    <w:rsid w:val="007B46E0"/>
    <w:rsid w:val="007B48F9"/>
    <w:rsid w:val="007B4BE9"/>
    <w:rsid w:val="007B4FDC"/>
    <w:rsid w:val="007B5A8F"/>
    <w:rsid w:val="007B6DAF"/>
    <w:rsid w:val="007B7123"/>
    <w:rsid w:val="007B7633"/>
    <w:rsid w:val="007B78B5"/>
    <w:rsid w:val="007B7F2A"/>
    <w:rsid w:val="007C03F6"/>
    <w:rsid w:val="007C1D45"/>
    <w:rsid w:val="007C2B60"/>
    <w:rsid w:val="007C2F1C"/>
    <w:rsid w:val="007C39BB"/>
    <w:rsid w:val="007C3DE0"/>
    <w:rsid w:val="007C4E34"/>
    <w:rsid w:val="007C60B9"/>
    <w:rsid w:val="007C7097"/>
    <w:rsid w:val="007C7A35"/>
    <w:rsid w:val="007D01A6"/>
    <w:rsid w:val="007D03DD"/>
    <w:rsid w:val="007D0D6C"/>
    <w:rsid w:val="007D340F"/>
    <w:rsid w:val="007D4965"/>
    <w:rsid w:val="007D5001"/>
    <w:rsid w:val="007D51CC"/>
    <w:rsid w:val="007D551E"/>
    <w:rsid w:val="007D55BF"/>
    <w:rsid w:val="007D60E6"/>
    <w:rsid w:val="007D7593"/>
    <w:rsid w:val="007D7844"/>
    <w:rsid w:val="007E00CF"/>
    <w:rsid w:val="007E097A"/>
    <w:rsid w:val="007E0BA5"/>
    <w:rsid w:val="007E0D51"/>
    <w:rsid w:val="007E1C35"/>
    <w:rsid w:val="007E2965"/>
    <w:rsid w:val="007E4262"/>
    <w:rsid w:val="007E53EB"/>
    <w:rsid w:val="007E57B1"/>
    <w:rsid w:val="007E6D2E"/>
    <w:rsid w:val="007E6E73"/>
    <w:rsid w:val="007E712F"/>
    <w:rsid w:val="007E7600"/>
    <w:rsid w:val="007F07AB"/>
    <w:rsid w:val="007F0D4B"/>
    <w:rsid w:val="007F16F8"/>
    <w:rsid w:val="007F2BFD"/>
    <w:rsid w:val="007F2FD3"/>
    <w:rsid w:val="007F4042"/>
    <w:rsid w:val="007F44F4"/>
    <w:rsid w:val="007F469D"/>
    <w:rsid w:val="007F4ACB"/>
    <w:rsid w:val="007F4AE8"/>
    <w:rsid w:val="007F6424"/>
    <w:rsid w:val="007F65FB"/>
    <w:rsid w:val="007F6AB7"/>
    <w:rsid w:val="00800137"/>
    <w:rsid w:val="00800369"/>
    <w:rsid w:val="00800374"/>
    <w:rsid w:val="00801642"/>
    <w:rsid w:val="0080167E"/>
    <w:rsid w:val="0080252E"/>
    <w:rsid w:val="008030E1"/>
    <w:rsid w:val="008033DE"/>
    <w:rsid w:val="00803903"/>
    <w:rsid w:val="00803DF7"/>
    <w:rsid w:val="008040CC"/>
    <w:rsid w:val="008062F7"/>
    <w:rsid w:val="00807D0B"/>
    <w:rsid w:val="00807DAC"/>
    <w:rsid w:val="008102B0"/>
    <w:rsid w:val="00810F09"/>
    <w:rsid w:val="00811CBD"/>
    <w:rsid w:val="00811D72"/>
    <w:rsid w:val="00812059"/>
    <w:rsid w:val="00812398"/>
    <w:rsid w:val="008125A1"/>
    <w:rsid w:val="008127D3"/>
    <w:rsid w:val="00812BF9"/>
    <w:rsid w:val="008143A7"/>
    <w:rsid w:val="008145FC"/>
    <w:rsid w:val="0081557D"/>
    <w:rsid w:val="008156FB"/>
    <w:rsid w:val="00816078"/>
    <w:rsid w:val="00816B49"/>
    <w:rsid w:val="00817810"/>
    <w:rsid w:val="00820E1C"/>
    <w:rsid w:val="00820F48"/>
    <w:rsid w:val="00821485"/>
    <w:rsid w:val="00822225"/>
    <w:rsid w:val="008227B0"/>
    <w:rsid w:val="00822D6D"/>
    <w:rsid w:val="00823EFB"/>
    <w:rsid w:val="00824BFA"/>
    <w:rsid w:val="00824DA2"/>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CAA"/>
    <w:rsid w:val="00843DA3"/>
    <w:rsid w:val="008440C4"/>
    <w:rsid w:val="00845110"/>
    <w:rsid w:val="008454EB"/>
    <w:rsid w:val="00845923"/>
    <w:rsid w:val="00845BE0"/>
    <w:rsid w:val="00846076"/>
    <w:rsid w:val="00846E79"/>
    <w:rsid w:val="00847605"/>
    <w:rsid w:val="0084761B"/>
    <w:rsid w:val="00847806"/>
    <w:rsid w:val="00847B7B"/>
    <w:rsid w:val="00847F97"/>
    <w:rsid w:val="00850209"/>
    <w:rsid w:val="00851C96"/>
    <w:rsid w:val="0085272D"/>
    <w:rsid w:val="00852D85"/>
    <w:rsid w:val="00852E9B"/>
    <w:rsid w:val="008539AF"/>
    <w:rsid w:val="00853DBB"/>
    <w:rsid w:val="00854501"/>
    <w:rsid w:val="00854750"/>
    <w:rsid w:val="00854943"/>
    <w:rsid w:val="00854C12"/>
    <w:rsid w:val="00854E5E"/>
    <w:rsid w:val="008550ED"/>
    <w:rsid w:val="0085678E"/>
    <w:rsid w:val="0085740C"/>
    <w:rsid w:val="00857B5F"/>
    <w:rsid w:val="00860327"/>
    <w:rsid w:val="00860AD2"/>
    <w:rsid w:val="0086104E"/>
    <w:rsid w:val="008616AA"/>
    <w:rsid w:val="00861B47"/>
    <w:rsid w:val="00862BE1"/>
    <w:rsid w:val="008631A1"/>
    <w:rsid w:val="008632A0"/>
    <w:rsid w:val="00863CFB"/>
    <w:rsid w:val="00863DBE"/>
    <w:rsid w:val="008645A9"/>
    <w:rsid w:val="00864702"/>
    <w:rsid w:val="00864EBE"/>
    <w:rsid w:val="00864F8E"/>
    <w:rsid w:val="008650C9"/>
    <w:rsid w:val="008664AE"/>
    <w:rsid w:val="008667EA"/>
    <w:rsid w:val="008700CE"/>
    <w:rsid w:val="008705F4"/>
    <w:rsid w:val="008709B1"/>
    <w:rsid w:val="00871CCA"/>
    <w:rsid w:val="0087242F"/>
    <w:rsid w:val="0087296D"/>
    <w:rsid w:val="00873034"/>
    <w:rsid w:val="00873472"/>
    <w:rsid w:val="00873FB5"/>
    <w:rsid w:val="00876E7D"/>
    <w:rsid w:val="00876F89"/>
    <w:rsid w:val="00877A8F"/>
    <w:rsid w:val="00877E9D"/>
    <w:rsid w:val="00880CB3"/>
    <w:rsid w:val="00881854"/>
    <w:rsid w:val="00881F40"/>
    <w:rsid w:val="00882FA0"/>
    <w:rsid w:val="00883032"/>
    <w:rsid w:val="008835D4"/>
    <w:rsid w:val="00883B30"/>
    <w:rsid w:val="0088484B"/>
    <w:rsid w:val="00884D2C"/>
    <w:rsid w:val="008854BB"/>
    <w:rsid w:val="00885768"/>
    <w:rsid w:val="008859A0"/>
    <w:rsid w:val="00885A34"/>
    <w:rsid w:val="00885AD8"/>
    <w:rsid w:val="00885E46"/>
    <w:rsid w:val="00885FE9"/>
    <w:rsid w:val="00886130"/>
    <w:rsid w:val="00886215"/>
    <w:rsid w:val="008874D8"/>
    <w:rsid w:val="008876AE"/>
    <w:rsid w:val="00887B80"/>
    <w:rsid w:val="00892914"/>
    <w:rsid w:val="008936A2"/>
    <w:rsid w:val="00893C72"/>
    <w:rsid w:val="00893E0A"/>
    <w:rsid w:val="008943B5"/>
    <w:rsid w:val="008945F2"/>
    <w:rsid w:val="00895581"/>
    <w:rsid w:val="00895ED1"/>
    <w:rsid w:val="00896EC3"/>
    <w:rsid w:val="008A019E"/>
    <w:rsid w:val="008A0C52"/>
    <w:rsid w:val="008A1274"/>
    <w:rsid w:val="008A1C14"/>
    <w:rsid w:val="008A32B9"/>
    <w:rsid w:val="008A3E87"/>
    <w:rsid w:val="008A50C3"/>
    <w:rsid w:val="008A55D3"/>
    <w:rsid w:val="008A5752"/>
    <w:rsid w:val="008A62D6"/>
    <w:rsid w:val="008A666E"/>
    <w:rsid w:val="008A67B4"/>
    <w:rsid w:val="008A7AD3"/>
    <w:rsid w:val="008B0629"/>
    <w:rsid w:val="008B0F8B"/>
    <w:rsid w:val="008B102E"/>
    <w:rsid w:val="008B2343"/>
    <w:rsid w:val="008B2D12"/>
    <w:rsid w:val="008B2F7B"/>
    <w:rsid w:val="008B3815"/>
    <w:rsid w:val="008B38E2"/>
    <w:rsid w:val="008B42E1"/>
    <w:rsid w:val="008B521E"/>
    <w:rsid w:val="008B5892"/>
    <w:rsid w:val="008B5B29"/>
    <w:rsid w:val="008B6567"/>
    <w:rsid w:val="008B6667"/>
    <w:rsid w:val="008B7230"/>
    <w:rsid w:val="008C0495"/>
    <w:rsid w:val="008C0BFE"/>
    <w:rsid w:val="008C1D99"/>
    <w:rsid w:val="008C28B0"/>
    <w:rsid w:val="008C2930"/>
    <w:rsid w:val="008C30B1"/>
    <w:rsid w:val="008C3259"/>
    <w:rsid w:val="008C49EF"/>
    <w:rsid w:val="008C54A7"/>
    <w:rsid w:val="008C5D1C"/>
    <w:rsid w:val="008C5E9A"/>
    <w:rsid w:val="008C6880"/>
    <w:rsid w:val="008C6ECF"/>
    <w:rsid w:val="008C6FE8"/>
    <w:rsid w:val="008C77E4"/>
    <w:rsid w:val="008D3220"/>
    <w:rsid w:val="008D34EC"/>
    <w:rsid w:val="008D50CF"/>
    <w:rsid w:val="008D57CC"/>
    <w:rsid w:val="008D66D7"/>
    <w:rsid w:val="008D6DE3"/>
    <w:rsid w:val="008D7629"/>
    <w:rsid w:val="008D7968"/>
    <w:rsid w:val="008D7D20"/>
    <w:rsid w:val="008E026D"/>
    <w:rsid w:val="008E0AA6"/>
    <w:rsid w:val="008E0C67"/>
    <w:rsid w:val="008E0F01"/>
    <w:rsid w:val="008E25EB"/>
    <w:rsid w:val="008E2909"/>
    <w:rsid w:val="008E33A9"/>
    <w:rsid w:val="008E3EA6"/>
    <w:rsid w:val="008E64C0"/>
    <w:rsid w:val="008E6DDC"/>
    <w:rsid w:val="008E6EA0"/>
    <w:rsid w:val="008F0615"/>
    <w:rsid w:val="008F0687"/>
    <w:rsid w:val="008F356C"/>
    <w:rsid w:val="008F3803"/>
    <w:rsid w:val="008F3ADE"/>
    <w:rsid w:val="008F45D0"/>
    <w:rsid w:val="008F471A"/>
    <w:rsid w:val="008F4B6A"/>
    <w:rsid w:val="008F51BF"/>
    <w:rsid w:val="008F5E4E"/>
    <w:rsid w:val="008F609A"/>
    <w:rsid w:val="008F614F"/>
    <w:rsid w:val="008F745F"/>
    <w:rsid w:val="008F7661"/>
    <w:rsid w:val="009013AE"/>
    <w:rsid w:val="00901CD6"/>
    <w:rsid w:val="0090296D"/>
    <w:rsid w:val="00903DA0"/>
    <w:rsid w:val="00905396"/>
    <w:rsid w:val="00905EC1"/>
    <w:rsid w:val="00906F32"/>
    <w:rsid w:val="00907127"/>
    <w:rsid w:val="00907BF7"/>
    <w:rsid w:val="00907EB1"/>
    <w:rsid w:val="00910907"/>
    <w:rsid w:val="00910EAA"/>
    <w:rsid w:val="00911D9B"/>
    <w:rsid w:val="00912161"/>
    <w:rsid w:val="009126DE"/>
    <w:rsid w:val="009126F3"/>
    <w:rsid w:val="0091415E"/>
    <w:rsid w:val="00914A14"/>
    <w:rsid w:val="00914F05"/>
    <w:rsid w:val="009154AF"/>
    <w:rsid w:val="00915619"/>
    <w:rsid w:val="00915C2D"/>
    <w:rsid w:val="00915D10"/>
    <w:rsid w:val="00916375"/>
    <w:rsid w:val="00920D1F"/>
    <w:rsid w:val="00920E1B"/>
    <w:rsid w:val="00921756"/>
    <w:rsid w:val="0092189C"/>
    <w:rsid w:val="00921EB5"/>
    <w:rsid w:val="009225DE"/>
    <w:rsid w:val="00922B6E"/>
    <w:rsid w:val="00922E4B"/>
    <w:rsid w:val="00922E83"/>
    <w:rsid w:val="00924108"/>
    <w:rsid w:val="00924194"/>
    <w:rsid w:val="00924439"/>
    <w:rsid w:val="00924693"/>
    <w:rsid w:val="00924766"/>
    <w:rsid w:val="00924AA9"/>
    <w:rsid w:val="0092517D"/>
    <w:rsid w:val="00925911"/>
    <w:rsid w:val="00925CBB"/>
    <w:rsid w:val="00925D07"/>
    <w:rsid w:val="009264C0"/>
    <w:rsid w:val="00927063"/>
    <w:rsid w:val="009275CA"/>
    <w:rsid w:val="00927B4C"/>
    <w:rsid w:val="00930BF3"/>
    <w:rsid w:val="00931362"/>
    <w:rsid w:val="00931ED8"/>
    <w:rsid w:val="0093237A"/>
    <w:rsid w:val="00933B94"/>
    <w:rsid w:val="00933D43"/>
    <w:rsid w:val="00933DAA"/>
    <w:rsid w:val="0093480E"/>
    <w:rsid w:val="00934C51"/>
    <w:rsid w:val="0093594B"/>
    <w:rsid w:val="00935C11"/>
    <w:rsid w:val="0093667E"/>
    <w:rsid w:val="00936726"/>
    <w:rsid w:val="00936C29"/>
    <w:rsid w:val="00936E50"/>
    <w:rsid w:val="009412AD"/>
    <w:rsid w:val="00941AB6"/>
    <w:rsid w:val="009424B2"/>
    <w:rsid w:val="00942EAB"/>
    <w:rsid w:val="00943568"/>
    <w:rsid w:val="00943979"/>
    <w:rsid w:val="009439B7"/>
    <w:rsid w:val="009442A4"/>
    <w:rsid w:val="00944618"/>
    <w:rsid w:val="009449E6"/>
    <w:rsid w:val="009456B2"/>
    <w:rsid w:val="0094609E"/>
    <w:rsid w:val="00946286"/>
    <w:rsid w:val="00946320"/>
    <w:rsid w:val="00947F31"/>
    <w:rsid w:val="00950942"/>
    <w:rsid w:val="009512D6"/>
    <w:rsid w:val="0095217C"/>
    <w:rsid w:val="0095251F"/>
    <w:rsid w:val="00952FC1"/>
    <w:rsid w:val="009532EE"/>
    <w:rsid w:val="009533EB"/>
    <w:rsid w:val="00953E07"/>
    <w:rsid w:val="00954236"/>
    <w:rsid w:val="00956920"/>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01A"/>
    <w:rsid w:val="00966178"/>
    <w:rsid w:val="009669AC"/>
    <w:rsid w:val="009669F4"/>
    <w:rsid w:val="00967D89"/>
    <w:rsid w:val="00970E37"/>
    <w:rsid w:val="00971D00"/>
    <w:rsid w:val="00972172"/>
    <w:rsid w:val="00972DDE"/>
    <w:rsid w:val="00973127"/>
    <w:rsid w:val="00973A64"/>
    <w:rsid w:val="00974976"/>
    <w:rsid w:val="00974BEF"/>
    <w:rsid w:val="00975720"/>
    <w:rsid w:val="00975A1A"/>
    <w:rsid w:val="00981046"/>
    <w:rsid w:val="0098172A"/>
    <w:rsid w:val="0098260D"/>
    <w:rsid w:val="00983A0B"/>
    <w:rsid w:val="0098463E"/>
    <w:rsid w:val="00987F05"/>
    <w:rsid w:val="00990D1F"/>
    <w:rsid w:val="0099115A"/>
    <w:rsid w:val="00992B59"/>
    <w:rsid w:val="0099355F"/>
    <w:rsid w:val="009939FD"/>
    <w:rsid w:val="00994C86"/>
    <w:rsid w:val="00996185"/>
    <w:rsid w:val="0099624F"/>
    <w:rsid w:val="00996B08"/>
    <w:rsid w:val="009975C1"/>
    <w:rsid w:val="00997DCD"/>
    <w:rsid w:val="009A0C66"/>
    <w:rsid w:val="009A0D41"/>
    <w:rsid w:val="009A0EE8"/>
    <w:rsid w:val="009A1FC2"/>
    <w:rsid w:val="009A1FCE"/>
    <w:rsid w:val="009A25A7"/>
    <w:rsid w:val="009A3C8E"/>
    <w:rsid w:val="009A3E49"/>
    <w:rsid w:val="009A49FF"/>
    <w:rsid w:val="009A5036"/>
    <w:rsid w:val="009A525C"/>
    <w:rsid w:val="009A5B23"/>
    <w:rsid w:val="009A5C56"/>
    <w:rsid w:val="009A6147"/>
    <w:rsid w:val="009A676D"/>
    <w:rsid w:val="009B225F"/>
    <w:rsid w:val="009B2270"/>
    <w:rsid w:val="009B28BF"/>
    <w:rsid w:val="009B378C"/>
    <w:rsid w:val="009B44E6"/>
    <w:rsid w:val="009B45E1"/>
    <w:rsid w:val="009B4F72"/>
    <w:rsid w:val="009B5343"/>
    <w:rsid w:val="009B53A4"/>
    <w:rsid w:val="009B6D1C"/>
    <w:rsid w:val="009B6F6A"/>
    <w:rsid w:val="009B71FB"/>
    <w:rsid w:val="009B7ACC"/>
    <w:rsid w:val="009C02BF"/>
    <w:rsid w:val="009C1120"/>
    <w:rsid w:val="009C16CD"/>
    <w:rsid w:val="009C20CC"/>
    <w:rsid w:val="009C2703"/>
    <w:rsid w:val="009C29AE"/>
    <w:rsid w:val="009C3308"/>
    <w:rsid w:val="009C39A7"/>
    <w:rsid w:val="009C412D"/>
    <w:rsid w:val="009C4797"/>
    <w:rsid w:val="009C4DB1"/>
    <w:rsid w:val="009C6E2F"/>
    <w:rsid w:val="009C77F0"/>
    <w:rsid w:val="009D0197"/>
    <w:rsid w:val="009D0264"/>
    <w:rsid w:val="009D09F0"/>
    <w:rsid w:val="009D0EED"/>
    <w:rsid w:val="009D11CB"/>
    <w:rsid w:val="009D17FE"/>
    <w:rsid w:val="009D1F8C"/>
    <w:rsid w:val="009D2399"/>
    <w:rsid w:val="009D2442"/>
    <w:rsid w:val="009D24A1"/>
    <w:rsid w:val="009D2741"/>
    <w:rsid w:val="009D2790"/>
    <w:rsid w:val="009D2B81"/>
    <w:rsid w:val="009D2D6B"/>
    <w:rsid w:val="009D4579"/>
    <w:rsid w:val="009D4DC8"/>
    <w:rsid w:val="009D540D"/>
    <w:rsid w:val="009D6908"/>
    <w:rsid w:val="009E0A35"/>
    <w:rsid w:val="009E10C8"/>
    <w:rsid w:val="009E2A2D"/>
    <w:rsid w:val="009E32C4"/>
    <w:rsid w:val="009E353C"/>
    <w:rsid w:val="009E4BCA"/>
    <w:rsid w:val="009E50C9"/>
    <w:rsid w:val="009E58D0"/>
    <w:rsid w:val="009E6672"/>
    <w:rsid w:val="009E6E26"/>
    <w:rsid w:val="009E73D0"/>
    <w:rsid w:val="009F09E8"/>
    <w:rsid w:val="009F3796"/>
    <w:rsid w:val="009F416E"/>
    <w:rsid w:val="009F4440"/>
    <w:rsid w:val="009F4E94"/>
    <w:rsid w:val="009F4F12"/>
    <w:rsid w:val="009F7894"/>
    <w:rsid w:val="00A0088B"/>
    <w:rsid w:val="00A00C61"/>
    <w:rsid w:val="00A01815"/>
    <w:rsid w:val="00A01D32"/>
    <w:rsid w:val="00A035B9"/>
    <w:rsid w:val="00A03F7D"/>
    <w:rsid w:val="00A0465F"/>
    <w:rsid w:val="00A053AD"/>
    <w:rsid w:val="00A061EE"/>
    <w:rsid w:val="00A07DBC"/>
    <w:rsid w:val="00A10D8A"/>
    <w:rsid w:val="00A115DA"/>
    <w:rsid w:val="00A120AF"/>
    <w:rsid w:val="00A13163"/>
    <w:rsid w:val="00A13C8A"/>
    <w:rsid w:val="00A14869"/>
    <w:rsid w:val="00A14FBC"/>
    <w:rsid w:val="00A150AA"/>
    <w:rsid w:val="00A1546C"/>
    <w:rsid w:val="00A15FA7"/>
    <w:rsid w:val="00A164FA"/>
    <w:rsid w:val="00A20073"/>
    <w:rsid w:val="00A21B65"/>
    <w:rsid w:val="00A21C07"/>
    <w:rsid w:val="00A229A1"/>
    <w:rsid w:val="00A229C4"/>
    <w:rsid w:val="00A24136"/>
    <w:rsid w:val="00A25853"/>
    <w:rsid w:val="00A25AB6"/>
    <w:rsid w:val="00A3052A"/>
    <w:rsid w:val="00A31AC0"/>
    <w:rsid w:val="00A31F7A"/>
    <w:rsid w:val="00A31FDF"/>
    <w:rsid w:val="00A32C7D"/>
    <w:rsid w:val="00A335AF"/>
    <w:rsid w:val="00A354B9"/>
    <w:rsid w:val="00A35562"/>
    <w:rsid w:val="00A35A05"/>
    <w:rsid w:val="00A36034"/>
    <w:rsid w:val="00A36636"/>
    <w:rsid w:val="00A3677F"/>
    <w:rsid w:val="00A36BF3"/>
    <w:rsid w:val="00A40745"/>
    <w:rsid w:val="00A40904"/>
    <w:rsid w:val="00A40CB2"/>
    <w:rsid w:val="00A40E16"/>
    <w:rsid w:val="00A41F94"/>
    <w:rsid w:val="00A43596"/>
    <w:rsid w:val="00A45E06"/>
    <w:rsid w:val="00A465FA"/>
    <w:rsid w:val="00A46A65"/>
    <w:rsid w:val="00A46CAC"/>
    <w:rsid w:val="00A46EB4"/>
    <w:rsid w:val="00A47EE9"/>
    <w:rsid w:val="00A507E4"/>
    <w:rsid w:val="00A509EA"/>
    <w:rsid w:val="00A50FD4"/>
    <w:rsid w:val="00A517ED"/>
    <w:rsid w:val="00A51AF8"/>
    <w:rsid w:val="00A51EA8"/>
    <w:rsid w:val="00A5279C"/>
    <w:rsid w:val="00A5393A"/>
    <w:rsid w:val="00A55789"/>
    <w:rsid w:val="00A55A2D"/>
    <w:rsid w:val="00A55CAE"/>
    <w:rsid w:val="00A55E1B"/>
    <w:rsid w:val="00A55E63"/>
    <w:rsid w:val="00A56082"/>
    <w:rsid w:val="00A5660F"/>
    <w:rsid w:val="00A57990"/>
    <w:rsid w:val="00A57C3A"/>
    <w:rsid w:val="00A6014B"/>
    <w:rsid w:val="00A60D90"/>
    <w:rsid w:val="00A614EE"/>
    <w:rsid w:val="00A615B8"/>
    <w:rsid w:val="00A61CC2"/>
    <w:rsid w:val="00A63279"/>
    <w:rsid w:val="00A6351B"/>
    <w:rsid w:val="00A64297"/>
    <w:rsid w:val="00A64A3D"/>
    <w:rsid w:val="00A6501B"/>
    <w:rsid w:val="00A65AA8"/>
    <w:rsid w:val="00A667FF"/>
    <w:rsid w:val="00A668EA"/>
    <w:rsid w:val="00A66921"/>
    <w:rsid w:val="00A6732B"/>
    <w:rsid w:val="00A67776"/>
    <w:rsid w:val="00A700F2"/>
    <w:rsid w:val="00A7045B"/>
    <w:rsid w:val="00A7150D"/>
    <w:rsid w:val="00A721BB"/>
    <w:rsid w:val="00A7236C"/>
    <w:rsid w:val="00A7242E"/>
    <w:rsid w:val="00A74185"/>
    <w:rsid w:val="00A7427E"/>
    <w:rsid w:val="00A7450A"/>
    <w:rsid w:val="00A74E8D"/>
    <w:rsid w:val="00A75756"/>
    <w:rsid w:val="00A76522"/>
    <w:rsid w:val="00A7658F"/>
    <w:rsid w:val="00A7671C"/>
    <w:rsid w:val="00A77568"/>
    <w:rsid w:val="00A779B0"/>
    <w:rsid w:val="00A77A24"/>
    <w:rsid w:val="00A802FD"/>
    <w:rsid w:val="00A8064B"/>
    <w:rsid w:val="00A80B66"/>
    <w:rsid w:val="00A81C45"/>
    <w:rsid w:val="00A83430"/>
    <w:rsid w:val="00A84389"/>
    <w:rsid w:val="00A855A9"/>
    <w:rsid w:val="00A85AE4"/>
    <w:rsid w:val="00A8638A"/>
    <w:rsid w:val="00A87284"/>
    <w:rsid w:val="00A87510"/>
    <w:rsid w:val="00A875A7"/>
    <w:rsid w:val="00A879BE"/>
    <w:rsid w:val="00A90DD4"/>
    <w:rsid w:val="00A9199F"/>
    <w:rsid w:val="00A9223F"/>
    <w:rsid w:val="00A92EF6"/>
    <w:rsid w:val="00A9335D"/>
    <w:rsid w:val="00A93FD7"/>
    <w:rsid w:val="00A94408"/>
    <w:rsid w:val="00A956A7"/>
    <w:rsid w:val="00A95DA6"/>
    <w:rsid w:val="00A97E0E"/>
    <w:rsid w:val="00AA0023"/>
    <w:rsid w:val="00AA0A9F"/>
    <w:rsid w:val="00AA1614"/>
    <w:rsid w:val="00AA2E6F"/>
    <w:rsid w:val="00AA459F"/>
    <w:rsid w:val="00AA50E3"/>
    <w:rsid w:val="00AA572F"/>
    <w:rsid w:val="00AA6A52"/>
    <w:rsid w:val="00AB0055"/>
    <w:rsid w:val="00AB0793"/>
    <w:rsid w:val="00AB19C7"/>
    <w:rsid w:val="00AB1C58"/>
    <w:rsid w:val="00AB243A"/>
    <w:rsid w:val="00AB28C3"/>
    <w:rsid w:val="00AB3CC4"/>
    <w:rsid w:val="00AB4583"/>
    <w:rsid w:val="00AB4650"/>
    <w:rsid w:val="00AB46DE"/>
    <w:rsid w:val="00AB4AA9"/>
    <w:rsid w:val="00AB5F30"/>
    <w:rsid w:val="00AB5FC7"/>
    <w:rsid w:val="00AB61BF"/>
    <w:rsid w:val="00AB6A2D"/>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B97"/>
    <w:rsid w:val="00AE0C39"/>
    <w:rsid w:val="00AE18A7"/>
    <w:rsid w:val="00AE1B9C"/>
    <w:rsid w:val="00AE1BF0"/>
    <w:rsid w:val="00AE1D7A"/>
    <w:rsid w:val="00AE270C"/>
    <w:rsid w:val="00AE2926"/>
    <w:rsid w:val="00AE2DC2"/>
    <w:rsid w:val="00AE391F"/>
    <w:rsid w:val="00AE3A7F"/>
    <w:rsid w:val="00AE3B02"/>
    <w:rsid w:val="00AE45B1"/>
    <w:rsid w:val="00AE482F"/>
    <w:rsid w:val="00AE6028"/>
    <w:rsid w:val="00AF07C5"/>
    <w:rsid w:val="00AF093F"/>
    <w:rsid w:val="00AF0A33"/>
    <w:rsid w:val="00AF0D06"/>
    <w:rsid w:val="00AF2787"/>
    <w:rsid w:val="00AF29A6"/>
    <w:rsid w:val="00AF38DB"/>
    <w:rsid w:val="00AF3DBA"/>
    <w:rsid w:val="00AF4099"/>
    <w:rsid w:val="00AF5493"/>
    <w:rsid w:val="00AF5946"/>
    <w:rsid w:val="00AF5C59"/>
    <w:rsid w:val="00AF5F94"/>
    <w:rsid w:val="00AF7480"/>
    <w:rsid w:val="00B00F1D"/>
    <w:rsid w:val="00B011F3"/>
    <w:rsid w:val="00B012CE"/>
    <w:rsid w:val="00B01969"/>
    <w:rsid w:val="00B01C54"/>
    <w:rsid w:val="00B01DED"/>
    <w:rsid w:val="00B0246B"/>
    <w:rsid w:val="00B03034"/>
    <w:rsid w:val="00B049F4"/>
    <w:rsid w:val="00B04C5F"/>
    <w:rsid w:val="00B04E24"/>
    <w:rsid w:val="00B0560A"/>
    <w:rsid w:val="00B05B1A"/>
    <w:rsid w:val="00B069EF"/>
    <w:rsid w:val="00B06BF2"/>
    <w:rsid w:val="00B07083"/>
    <w:rsid w:val="00B07541"/>
    <w:rsid w:val="00B07BCD"/>
    <w:rsid w:val="00B1050A"/>
    <w:rsid w:val="00B10BE1"/>
    <w:rsid w:val="00B117BB"/>
    <w:rsid w:val="00B11EB9"/>
    <w:rsid w:val="00B12D8C"/>
    <w:rsid w:val="00B1310B"/>
    <w:rsid w:val="00B13E61"/>
    <w:rsid w:val="00B144F4"/>
    <w:rsid w:val="00B158D5"/>
    <w:rsid w:val="00B1631A"/>
    <w:rsid w:val="00B164CF"/>
    <w:rsid w:val="00B164D3"/>
    <w:rsid w:val="00B167D9"/>
    <w:rsid w:val="00B177EE"/>
    <w:rsid w:val="00B179AC"/>
    <w:rsid w:val="00B20CE9"/>
    <w:rsid w:val="00B21998"/>
    <w:rsid w:val="00B2244D"/>
    <w:rsid w:val="00B22638"/>
    <w:rsid w:val="00B234A4"/>
    <w:rsid w:val="00B24435"/>
    <w:rsid w:val="00B24442"/>
    <w:rsid w:val="00B24474"/>
    <w:rsid w:val="00B2476B"/>
    <w:rsid w:val="00B25401"/>
    <w:rsid w:val="00B25EDE"/>
    <w:rsid w:val="00B26A96"/>
    <w:rsid w:val="00B307F0"/>
    <w:rsid w:val="00B30B28"/>
    <w:rsid w:val="00B31D00"/>
    <w:rsid w:val="00B31EB8"/>
    <w:rsid w:val="00B3233E"/>
    <w:rsid w:val="00B32A2D"/>
    <w:rsid w:val="00B33363"/>
    <w:rsid w:val="00B3472F"/>
    <w:rsid w:val="00B35702"/>
    <w:rsid w:val="00B374EF"/>
    <w:rsid w:val="00B3760F"/>
    <w:rsid w:val="00B400C7"/>
    <w:rsid w:val="00B4042C"/>
    <w:rsid w:val="00B40AE8"/>
    <w:rsid w:val="00B40DA6"/>
    <w:rsid w:val="00B410DA"/>
    <w:rsid w:val="00B4195B"/>
    <w:rsid w:val="00B41BE9"/>
    <w:rsid w:val="00B41EC2"/>
    <w:rsid w:val="00B4206F"/>
    <w:rsid w:val="00B422C1"/>
    <w:rsid w:val="00B42311"/>
    <w:rsid w:val="00B4349C"/>
    <w:rsid w:val="00B4494C"/>
    <w:rsid w:val="00B45071"/>
    <w:rsid w:val="00B45726"/>
    <w:rsid w:val="00B458C1"/>
    <w:rsid w:val="00B45903"/>
    <w:rsid w:val="00B45E22"/>
    <w:rsid w:val="00B45EDB"/>
    <w:rsid w:val="00B46430"/>
    <w:rsid w:val="00B46458"/>
    <w:rsid w:val="00B46B47"/>
    <w:rsid w:val="00B517CB"/>
    <w:rsid w:val="00B523AE"/>
    <w:rsid w:val="00B52D79"/>
    <w:rsid w:val="00B52F1E"/>
    <w:rsid w:val="00B5321B"/>
    <w:rsid w:val="00B53811"/>
    <w:rsid w:val="00B53963"/>
    <w:rsid w:val="00B53EC5"/>
    <w:rsid w:val="00B546D4"/>
    <w:rsid w:val="00B54A81"/>
    <w:rsid w:val="00B54E35"/>
    <w:rsid w:val="00B55A7E"/>
    <w:rsid w:val="00B55C16"/>
    <w:rsid w:val="00B56BD7"/>
    <w:rsid w:val="00B56DC2"/>
    <w:rsid w:val="00B5749E"/>
    <w:rsid w:val="00B574CD"/>
    <w:rsid w:val="00B57522"/>
    <w:rsid w:val="00B579B6"/>
    <w:rsid w:val="00B57A22"/>
    <w:rsid w:val="00B60A7A"/>
    <w:rsid w:val="00B6203E"/>
    <w:rsid w:val="00B62D91"/>
    <w:rsid w:val="00B65292"/>
    <w:rsid w:val="00B656DF"/>
    <w:rsid w:val="00B667C6"/>
    <w:rsid w:val="00B669CF"/>
    <w:rsid w:val="00B66C93"/>
    <w:rsid w:val="00B675B1"/>
    <w:rsid w:val="00B70FDE"/>
    <w:rsid w:val="00B7185A"/>
    <w:rsid w:val="00B72C4F"/>
    <w:rsid w:val="00B72D7B"/>
    <w:rsid w:val="00B737A7"/>
    <w:rsid w:val="00B738A2"/>
    <w:rsid w:val="00B74251"/>
    <w:rsid w:val="00B747B1"/>
    <w:rsid w:val="00B749DA"/>
    <w:rsid w:val="00B74E9C"/>
    <w:rsid w:val="00B7511A"/>
    <w:rsid w:val="00B76698"/>
    <w:rsid w:val="00B7731A"/>
    <w:rsid w:val="00B8046B"/>
    <w:rsid w:val="00B80CAD"/>
    <w:rsid w:val="00B80D89"/>
    <w:rsid w:val="00B8164D"/>
    <w:rsid w:val="00B81865"/>
    <w:rsid w:val="00B82B1B"/>
    <w:rsid w:val="00B82BFF"/>
    <w:rsid w:val="00B83AF1"/>
    <w:rsid w:val="00B85AB7"/>
    <w:rsid w:val="00B85FF5"/>
    <w:rsid w:val="00B860C8"/>
    <w:rsid w:val="00B86455"/>
    <w:rsid w:val="00B86953"/>
    <w:rsid w:val="00B86A38"/>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779"/>
    <w:rsid w:val="00B960EA"/>
    <w:rsid w:val="00B96580"/>
    <w:rsid w:val="00B96E19"/>
    <w:rsid w:val="00B970AF"/>
    <w:rsid w:val="00BA0927"/>
    <w:rsid w:val="00BA0EF7"/>
    <w:rsid w:val="00BA1FBE"/>
    <w:rsid w:val="00BA214D"/>
    <w:rsid w:val="00BA3AD5"/>
    <w:rsid w:val="00BA3DB9"/>
    <w:rsid w:val="00BA475E"/>
    <w:rsid w:val="00BA4980"/>
    <w:rsid w:val="00BA4EDB"/>
    <w:rsid w:val="00BA556D"/>
    <w:rsid w:val="00BA5FA2"/>
    <w:rsid w:val="00BA73B1"/>
    <w:rsid w:val="00BB2272"/>
    <w:rsid w:val="00BB4DB0"/>
    <w:rsid w:val="00BB4E75"/>
    <w:rsid w:val="00BB51CB"/>
    <w:rsid w:val="00BB5585"/>
    <w:rsid w:val="00BB565A"/>
    <w:rsid w:val="00BB5D14"/>
    <w:rsid w:val="00BB6230"/>
    <w:rsid w:val="00BB70A1"/>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0799"/>
    <w:rsid w:val="00BD1CFF"/>
    <w:rsid w:val="00BD1E7E"/>
    <w:rsid w:val="00BD27D8"/>
    <w:rsid w:val="00BD30A9"/>
    <w:rsid w:val="00BD39ED"/>
    <w:rsid w:val="00BD42C4"/>
    <w:rsid w:val="00BD526E"/>
    <w:rsid w:val="00BD5D86"/>
    <w:rsid w:val="00BD6FDD"/>
    <w:rsid w:val="00BD7A63"/>
    <w:rsid w:val="00BE3409"/>
    <w:rsid w:val="00BE39CC"/>
    <w:rsid w:val="00BE3D71"/>
    <w:rsid w:val="00BE4A24"/>
    <w:rsid w:val="00BE4A2E"/>
    <w:rsid w:val="00BE4EE4"/>
    <w:rsid w:val="00BE5E84"/>
    <w:rsid w:val="00BE5FE9"/>
    <w:rsid w:val="00BE63C7"/>
    <w:rsid w:val="00BE7BA6"/>
    <w:rsid w:val="00BE7EE1"/>
    <w:rsid w:val="00BF0926"/>
    <w:rsid w:val="00BF0DEE"/>
    <w:rsid w:val="00BF12A8"/>
    <w:rsid w:val="00BF19CA"/>
    <w:rsid w:val="00BF1CCA"/>
    <w:rsid w:val="00BF1D12"/>
    <w:rsid w:val="00BF1D41"/>
    <w:rsid w:val="00BF225B"/>
    <w:rsid w:val="00BF2A82"/>
    <w:rsid w:val="00BF2DAF"/>
    <w:rsid w:val="00BF3137"/>
    <w:rsid w:val="00BF3294"/>
    <w:rsid w:val="00BF3520"/>
    <w:rsid w:val="00BF36A3"/>
    <w:rsid w:val="00BF38D8"/>
    <w:rsid w:val="00BF3C9A"/>
    <w:rsid w:val="00BF43D4"/>
    <w:rsid w:val="00BF45A3"/>
    <w:rsid w:val="00BF4CD0"/>
    <w:rsid w:val="00BF52C2"/>
    <w:rsid w:val="00BF53FE"/>
    <w:rsid w:val="00BF57F6"/>
    <w:rsid w:val="00BF59EA"/>
    <w:rsid w:val="00BF5AB1"/>
    <w:rsid w:val="00BF5CBC"/>
    <w:rsid w:val="00BF65D8"/>
    <w:rsid w:val="00BF66DF"/>
    <w:rsid w:val="00C001A6"/>
    <w:rsid w:val="00C00C55"/>
    <w:rsid w:val="00C01B4D"/>
    <w:rsid w:val="00C01EAD"/>
    <w:rsid w:val="00C02A05"/>
    <w:rsid w:val="00C03AEF"/>
    <w:rsid w:val="00C03E28"/>
    <w:rsid w:val="00C04497"/>
    <w:rsid w:val="00C045B1"/>
    <w:rsid w:val="00C04B46"/>
    <w:rsid w:val="00C04D8B"/>
    <w:rsid w:val="00C0508D"/>
    <w:rsid w:val="00C05359"/>
    <w:rsid w:val="00C05CA4"/>
    <w:rsid w:val="00C05E9A"/>
    <w:rsid w:val="00C06B66"/>
    <w:rsid w:val="00C06F7D"/>
    <w:rsid w:val="00C0707B"/>
    <w:rsid w:val="00C0712E"/>
    <w:rsid w:val="00C0722B"/>
    <w:rsid w:val="00C073D0"/>
    <w:rsid w:val="00C079B3"/>
    <w:rsid w:val="00C07C15"/>
    <w:rsid w:val="00C1070E"/>
    <w:rsid w:val="00C10AF2"/>
    <w:rsid w:val="00C116F9"/>
    <w:rsid w:val="00C11E86"/>
    <w:rsid w:val="00C12346"/>
    <w:rsid w:val="00C12673"/>
    <w:rsid w:val="00C12A13"/>
    <w:rsid w:val="00C12DC0"/>
    <w:rsid w:val="00C1351E"/>
    <w:rsid w:val="00C1592E"/>
    <w:rsid w:val="00C15EA7"/>
    <w:rsid w:val="00C16E54"/>
    <w:rsid w:val="00C171E8"/>
    <w:rsid w:val="00C17D0F"/>
    <w:rsid w:val="00C202FA"/>
    <w:rsid w:val="00C2094C"/>
    <w:rsid w:val="00C209DA"/>
    <w:rsid w:val="00C21210"/>
    <w:rsid w:val="00C21276"/>
    <w:rsid w:val="00C21DC8"/>
    <w:rsid w:val="00C2384B"/>
    <w:rsid w:val="00C24C10"/>
    <w:rsid w:val="00C25209"/>
    <w:rsid w:val="00C2544C"/>
    <w:rsid w:val="00C25DBE"/>
    <w:rsid w:val="00C25FEE"/>
    <w:rsid w:val="00C271EF"/>
    <w:rsid w:val="00C27FF7"/>
    <w:rsid w:val="00C30E41"/>
    <w:rsid w:val="00C31EDD"/>
    <w:rsid w:val="00C3232B"/>
    <w:rsid w:val="00C32474"/>
    <w:rsid w:val="00C333D7"/>
    <w:rsid w:val="00C33B27"/>
    <w:rsid w:val="00C3407D"/>
    <w:rsid w:val="00C343D7"/>
    <w:rsid w:val="00C34BE0"/>
    <w:rsid w:val="00C356ED"/>
    <w:rsid w:val="00C36542"/>
    <w:rsid w:val="00C37049"/>
    <w:rsid w:val="00C406FD"/>
    <w:rsid w:val="00C40E48"/>
    <w:rsid w:val="00C41999"/>
    <w:rsid w:val="00C41D79"/>
    <w:rsid w:val="00C42188"/>
    <w:rsid w:val="00C42244"/>
    <w:rsid w:val="00C42D7A"/>
    <w:rsid w:val="00C42EBD"/>
    <w:rsid w:val="00C43E07"/>
    <w:rsid w:val="00C44418"/>
    <w:rsid w:val="00C44B51"/>
    <w:rsid w:val="00C45D72"/>
    <w:rsid w:val="00C45EE1"/>
    <w:rsid w:val="00C46296"/>
    <w:rsid w:val="00C46C82"/>
    <w:rsid w:val="00C50FA3"/>
    <w:rsid w:val="00C519CA"/>
    <w:rsid w:val="00C529B7"/>
    <w:rsid w:val="00C532D8"/>
    <w:rsid w:val="00C53791"/>
    <w:rsid w:val="00C53C2D"/>
    <w:rsid w:val="00C54CCA"/>
    <w:rsid w:val="00C553BD"/>
    <w:rsid w:val="00C557C6"/>
    <w:rsid w:val="00C5681E"/>
    <w:rsid w:val="00C5696A"/>
    <w:rsid w:val="00C578DA"/>
    <w:rsid w:val="00C57F1C"/>
    <w:rsid w:val="00C60D9E"/>
    <w:rsid w:val="00C6124B"/>
    <w:rsid w:val="00C618DA"/>
    <w:rsid w:val="00C6296A"/>
    <w:rsid w:val="00C62E97"/>
    <w:rsid w:val="00C63B19"/>
    <w:rsid w:val="00C652B3"/>
    <w:rsid w:val="00C65CA5"/>
    <w:rsid w:val="00C65E14"/>
    <w:rsid w:val="00C661DE"/>
    <w:rsid w:val="00C66CF4"/>
    <w:rsid w:val="00C67B72"/>
    <w:rsid w:val="00C70149"/>
    <w:rsid w:val="00C70FFA"/>
    <w:rsid w:val="00C71B38"/>
    <w:rsid w:val="00C7305F"/>
    <w:rsid w:val="00C73CBA"/>
    <w:rsid w:val="00C73DF3"/>
    <w:rsid w:val="00C73EC9"/>
    <w:rsid w:val="00C741B1"/>
    <w:rsid w:val="00C74674"/>
    <w:rsid w:val="00C74A5E"/>
    <w:rsid w:val="00C75DE1"/>
    <w:rsid w:val="00C75F37"/>
    <w:rsid w:val="00C762A6"/>
    <w:rsid w:val="00C771A5"/>
    <w:rsid w:val="00C774FF"/>
    <w:rsid w:val="00C7756B"/>
    <w:rsid w:val="00C77D9F"/>
    <w:rsid w:val="00C77FB9"/>
    <w:rsid w:val="00C81AEE"/>
    <w:rsid w:val="00C81DDD"/>
    <w:rsid w:val="00C82DF4"/>
    <w:rsid w:val="00C82FEE"/>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734"/>
    <w:rsid w:val="00CA0BA6"/>
    <w:rsid w:val="00CA2108"/>
    <w:rsid w:val="00CA247D"/>
    <w:rsid w:val="00CA2745"/>
    <w:rsid w:val="00CA4064"/>
    <w:rsid w:val="00CA442C"/>
    <w:rsid w:val="00CA4777"/>
    <w:rsid w:val="00CA4C0D"/>
    <w:rsid w:val="00CA51E6"/>
    <w:rsid w:val="00CA5C72"/>
    <w:rsid w:val="00CA6174"/>
    <w:rsid w:val="00CA6CF4"/>
    <w:rsid w:val="00CA736E"/>
    <w:rsid w:val="00CB0246"/>
    <w:rsid w:val="00CB102C"/>
    <w:rsid w:val="00CB1377"/>
    <w:rsid w:val="00CB2367"/>
    <w:rsid w:val="00CB339E"/>
    <w:rsid w:val="00CB3422"/>
    <w:rsid w:val="00CB4FBE"/>
    <w:rsid w:val="00CB5141"/>
    <w:rsid w:val="00CB5DE7"/>
    <w:rsid w:val="00CB649E"/>
    <w:rsid w:val="00CC158D"/>
    <w:rsid w:val="00CC199F"/>
    <w:rsid w:val="00CC1B54"/>
    <w:rsid w:val="00CC2B57"/>
    <w:rsid w:val="00CC2FA5"/>
    <w:rsid w:val="00CC39DC"/>
    <w:rsid w:val="00CC4859"/>
    <w:rsid w:val="00CC4E0E"/>
    <w:rsid w:val="00CC5EE5"/>
    <w:rsid w:val="00CC62FC"/>
    <w:rsid w:val="00CC6CD0"/>
    <w:rsid w:val="00CC6DEE"/>
    <w:rsid w:val="00CC7088"/>
    <w:rsid w:val="00CC7154"/>
    <w:rsid w:val="00CC7913"/>
    <w:rsid w:val="00CD08D1"/>
    <w:rsid w:val="00CD113C"/>
    <w:rsid w:val="00CD1277"/>
    <w:rsid w:val="00CD1808"/>
    <w:rsid w:val="00CD1C58"/>
    <w:rsid w:val="00CD2474"/>
    <w:rsid w:val="00CD2A0F"/>
    <w:rsid w:val="00CD3867"/>
    <w:rsid w:val="00CD3B7E"/>
    <w:rsid w:val="00CD4677"/>
    <w:rsid w:val="00CD49D0"/>
    <w:rsid w:val="00CD4BBE"/>
    <w:rsid w:val="00CD4DC2"/>
    <w:rsid w:val="00CD553D"/>
    <w:rsid w:val="00CD5A9E"/>
    <w:rsid w:val="00CD5D7B"/>
    <w:rsid w:val="00CD7B38"/>
    <w:rsid w:val="00CE01E4"/>
    <w:rsid w:val="00CE07A6"/>
    <w:rsid w:val="00CE298A"/>
    <w:rsid w:val="00CE2C57"/>
    <w:rsid w:val="00CE327F"/>
    <w:rsid w:val="00CE37ED"/>
    <w:rsid w:val="00CE38FC"/>
    <w:rsid w:val="00CE3D11"/>
    <w:rsid w:val="00CE6082"/>
    <w:rsid w:val="00CE7E84"/>
    <w:rsid w:val="00CE7EDB"/>
    <w:rsid w:val="00CF1471"/>
    <w:rsid w:val="00CF2A9E"/>
    <w:rsid w:val="00CF2C1D"/>
    <w:rsid w:val="00CF2FD1"/>
    <w:rsid w:val="00CF4744"/>
    <w:rsid w:val="00CF5C47"/>
    <w:rsid w:val="00CF7D64"/>
    <w:rsid w:val="00CF7FAA"/>
    <w:rsid w:val="00D00EDD"/>
    <w:rsid w:val="00D019EA"/>
    <w:rsid w:val="00D01B5F"/>
    <w:rsid w:val="00D02344"/>
    <w:rsid w:val="00D0357D"/>
    <w:rsid w:val="00D03616"/>
    <w:rsid w:val="00D03CAF"/>
    <w:rsid w:val="00D047B0"/>
    <w:rsid w:val="00D04AE7"/>
    <w:rsid w:val="00D0522A"/>
    <w:rsid w:val="00D06F75"/>
    <w:rsid w:val="00D075EA"/>
    <w:rsid w:val="00D07A76"/>
    <w:rsid w:val="00D07A91"/>
    <w:rsid w:val="00D07BF9"/>
    <w:rsid w:val="00D10035"/>
    <w:rsid w:val="00D10433"/>
    <w:rsid w:val="00D10FAB"/>
    <w:rsid w:val="00D11CEB"/>
    <w:rsid w:val="00D11D53"/>
    <w:rsid w:val="00D11E7D"/>
    <w:rsid w:val="00D11FA3"/>
    <w:rsid w:val="00D12540"/>
    <w:rsid w:val="00D13DDA"/>
    <w:rsid w:val="00D14085"/>
    <w:rsid w:val="00D14529"/>
    <w:rsid w:val="00D1469B"/>
    <w:rsid w:val="00D15429"/>
    <w:rsid w:val="00D15B13"/>
    <w:rsid w:val="00D17957"/>
    <w:rsid w:val="00D17A44"/>
    <w:rsid w:val="00D17BD9"/>
    <w:rsid w:val="00D202BB"/>
    <w:rsid w:val="00D22F63"/>
    <w:rsid w:val="00D23C04"/>
    <w:rsid w:val="00D24882"/>
    <w:rsid w:val="00D24A65"/>
    <w:rsid w:val="00D25DE7"/>
    <w:rsid w:val="00D26757"/>
    <w:rsid w:val="00D275CE"/>
    <w:rsid w:val="00D276C5"/>
    <w:rsid w:val="00D277CC"/>
    <w:rsid w:val="00D27E1F"/>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1A"/>
    <w:rsid w:val="00D4013B"/>
    <w:rsid w:val="00D40182"/>
    <w:rsid w:val="00D40246"/>
    <w:rsid w:val="00D40A7D"/>
    <w:rsid w:val="00D40A89"/>
    <w:rsid w:val="00D40F1B"/>
    <w:rsid w:val="00D41C8A"/>
    <w:rsid w:val="00D41D4F"/>
    <w:rsid w:val="00D437F8"/>
    <w:rsid w:val="00D43998"/>
    <w:rsid w:val="00D43B64"/>
    <w:rsid w:val="00D43F38"/>
    <w:rsid w:val="00D43FC4"/>
    <w:rsid w:val="00D44C8F"/>
    <w:rsid w:val="00D45051"/>
    <w:rsid w:val="00D450D2"/>
    <w:rsid w:val="00D45388"/>
    <w:rsid w:val="00D45430"/>
    <w:rsid w:val="00D456CE"/>
    <w:rsid w:val="00D457AE"/>
    <w:rsid w:val="00D46340"/>
    <w:rsid w:val="00D46D13"/>
    <w:rsid w:val="00D46E72"/>
    <w:rsid w:val="00D4773A"/>
    <w:rsid w:val="00D47BC3"/>
    <w:rsid w:val="00D51732"/>
    <w:rsid w:val="00D51CB4"/>
    <w:rsid w:val="00D55138"/>
    <w:rsid w:val="00D55438"/>
    <w:rsid w:val="00D55F00"/>
    <w:rsid w:val="00D563DA"/>
    <w:rsid w:val="00D56A95"/>
    <w:rsid w:val="00D6215A"/>
    <w:rsid w:val="00D629F7"/>
    <w:rsid w:val="00D62D64"/>
    <w:rsid w:val="00D62F10"/>
    <w:rsid w:val="00D63024"/>
    <w:rsid w:val="00D639EC"/>
    <w:rsid w:val="00D6408D"/>
    <w:rsid w:val="00D64C47"/>
    <w:rsid w:val="00D6578E"/>
    <w:rsid w:val="00D674DA"/>
    <w:rsid w:val="00D675B0"/>
    <w:rsid w:val="00D67B1B"/>
    <w:rsid w:val="00D70E00"/>
    <w:rsid w:val="00D712FE"/>
    <w:rsid w:val="00D714E8"/>
    <w:rsid w:val="00D71888"/>
    <w:rsid w:val="00D7242A"/>
    <w:rsid w:val="00D73DD3"/>
    <w:rsid w:val="00D74431"/>
    <w:rsid w:val="00D74980"/>
    <w:rsid w:val="00D7584E"/>
    <w:rsid w:val="00D76001"/>
    <w:rsid w:val="00D77C13"/>
    <w:rsid w:val="00D8073F"/>
    <w:rsid w:val="00D809E7"/>
    <w:rsid w:val="00D80C7F"/>
    <w:rsid w:val="00D80F22"/>
    <w:rsid w:val="00D8119D"/>
    <w:rsid w:val="00D8198F"/>
    <w:rsid w:val="00D81C62"/>
    <w:rsid w:val="00D8365F"/>
    <w:rsid w:val="00D836B3"/>
    <w:rsid w:val="00D84D11"/>
    <w:rsid w:val="00D85499"/>
    <w:rsid w:val="00D85FC8"/>
    <w:rsid w:val="00D86336"/>
    <w:rsid w:val="00D86766"/>
    <w:rsid w:val="00D87207"/>
    <w:rsid w:val="00D87385"/>
    <w:rsid w:val="00D87AFE"/>
    <w:rsid w:val="00D90302"/>
    <w:rsid w:val="00D903EC"/>
    <w:rsid w:val="00D904C4"/>
    <w:rsid w:val="00D90CE4"/>
    <w:rsid w:val="00D90D09"/>
    <w:rsid w:val="00D90D8B"/>
    <w:rsid w:val="00D90FC3"/>
    <w:rsid w:val="00D9120C"/>
    <w:rsid w:val="00D918BC"/>
    <w:rsid w:val="00D9274A"/>
    <w:rsid w:val="00D92C6F"/>
    <w:rsid w:val="00D9526A"/>
    <w:rsid w:val="00D952F9"/>
    <w:rsid w:val="00D96987"/>
    <w:rsid w:val="00D96A3B"/>
    <w:rsid w:val="00D970EE"/>
    <w:rsid w:val="00D97B8F"/>
    <w:rsid w:val="00DA05BD"/>
    <w:rsid w:val="00DA2158"/>
    <w:rsid w:val="00DA2946"/>
    <w:rsid w:val="00DA2D82"/>
    <w:rsid w:val="00DA383F"/>
    <w:rsid w:val="00DA422E"/>
    <w:rsid w:val="00DA547C"/>
    <w:rsid w:val="00DA60F1"/>
    <w:rsid w:val="00DA7122"/>
    <w:rsid w:val="00DB1583"/>
    <w:rsid w:val="00DB1D72"/>
    <w:rsid w:val="00DB1EA6"/>
    <w:rsid w:val="00DB2A48"/>
    <w:rsid w:val="00DB2C90"/>
    <w:rsid w:val="00DB2D66"/>
    <w:rsid w:val="00DB499B"/>
    <w:rsid w:val="00DB4B2F"/>
    <w:rsid w:val="00DB4BFD"/>
    <w:rsid w:val="00DB4C60"/>
    <w:rsid w:val="00DB4F92"/>
    <w:rsid w:val="00DB64D3"/>
    <w:rsid w:val="00DB6E71"/>
    <w:rsid w:val="00DB7269"/>
    <w:rsid w:val="00DB7ED5"/>
    <w:rsid w:val="00DC04FD"/>
    <w:rsid w:val="00DC0A88"/>
    <w:rsid w:val="00DC11CF"/>
    <w:rsid w:val="00DC132E"/>
    <w:rsid w:val="00DC1403"/>
    <w:rsid w:val="00DC1BC9"/>
    <w:rsid w:val="00DC1D96"/>
    <w:rsid w:val="00DC3B6F"/>
    <w:rsid w:val="00DC4970"/>
    <w:rsid w:val="00DC5622"/>
    <w:rsid w:val="00DC59FA"/>
    <w:rsid w:val="00DC5DC5"/>
    <w:rsid w:val="00DC69A9"/>
    <w:rsid w:val="00DD0195"/>
    <w:rsid w:val="00DD0730"/>
    <w:rsid w:val="00DD0F74"/>
    <w:rsid w:val="00DD1721"/>
    <w:rsid w:val="00DD24E8"/>
    <w:rsid w:val="00DD27CF"/>
    <w:rsid w:val="00DD330F"/>
    <w:rsid w:val="00DD3685"/>
    <w:rsid w:val="00DD3E40"/>
    <w:rsid w:val="00DD3F1E"/>
    <w:rsid w:val="00DD3F51"/>
    <w:rsid w:val="00DD4106"/>
    <w:rsid w:val="00DD5AAC"/>
    <w:rsid w:val="00DD608F"/>
    <w:rsid w:val="00DD6149"/>
    <w:rsid w:val="00DD61E4"/>
    <w:rsid w:val="00DD6EB2"/>
    <w:rsid w:val="00DE0D29"/>
    <w:rsid w:val="00DE1648"/>
    <w:rsid w:val="00DE1986"/>
    <w:rsid w:val="00DE19D5"/>
    <w:rsid w:val="00DE3567"/>
    <w:rsid w:val="00DE36C2"/>
    <w:rsid w:val="00DE447C"/>
    <w:rsid w:val="00DE5125"/>
    <w:rsid w:val="00DE5165"/>
    <w:rsid w:val="00DE55D6"/>
    <w:rsid w:val="00DE5C79"/>
    <w:rsid w:val="00DE6C99"/>
    <w:rsid w:val="00DE6D26"/>
    <w:rsid w:val="00DE74CC"/>
    <w:rsid w:val="00DE7702"/>
    <w:rsid w:val="00DE7907"/>
    <w:rsid w:val="00DE7A85"/>
    <w:rsid w:val="00DE7B22"/>
    <w:rsid w:val="00DF13BD"/>
    <w:rsid w:val="00DF2929"/>
    <w:rsid w:val="00DF369A"/>
    <w:rsid w:val="00DF3C2D"/>
    <w:rsid w:val="00DF3F3D"/>
    <w:rsid w:val="00DF4C2B"/>
    <w:rsid w:val="00DF4C8B"/>
    <w:rsid w:val="00DF4ED5"/>
    <w:rsid w:val="00DF5994"/>
    <w:rsid w:val="00DF5DA5"/>
    <w:rsid w:val="00DF74A6"/>
    <w:rsid w:val="00E001C9"/>
    <w:rsid w:val="00E00271"/>
    <w:rsid w:val="00E006F7"/>
    <w:rsid w:val="00E00A40"/>
    <w:rsid w:val="00E00A61"/>
    <w:rsid w:val="00E00FC0"/>
    <w:rsid w:val="00E01676"/>
    <w:rsid w:val="00E01A37"/>
    <w:rsid w:val="00E01F48"/>
    <w:rsid w:val="00E0228F"/>
    <w:rsid w:val="00E02AC6"/>
    <w:rsid w:val="00E0384D"/>
    <w:rsid w:val="00E03C01"/>
    <w:rsid w:val="00E040E1"/>
    <w:rsid w:val="00E04812"/>
    <w:rsid w:val="00E04F77"/>
    <w:rsid w:val="00E05182"/>
    <w:rsid w:val="00E05298"/>
    <w:rsid w:val="00E059A2"/>
    <w:rsid w:val="00E06854"/>
    <w:rsid w:val="00E0692E"/>
    <w:rsid w:val="00E06C6D"/>
    <w:rsid w:val="00E1056C"/>
    <w:rsid w:val="00E10EBC"/>
    <w:rsid w:val="00E11C52"/>
    <w:rsid w:val="00E11E32"/>
    <w:rsid w:val="00E138DE"/>
    <w:rsid w:val="00E13F16"/>
    <w:rsid w:val="00E14197"/>
    <w:rsid w:val="00E141AE"/>
    <w:rsid w:val="00E14691"/>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27749"/>
    <w:rsid w:val="00E30323"/>
    <w:rsid w:val="00E304C6"/>
    <w:rsid w:val="00E316AF"/>
    <w:rsid w:val="00E31D77"/>
    <w:rsid w:val="00E31E55"/>
    <w:rsid w:val="00E328AC"/>
    <w:rsid w:val="00E3366B"/>
    <w:rsid w:val="00E346D0"/>
    <w:rsid w:val="00E34766"/>
    <w:rsid w:val="00E34D07"/>
    <w:rsid w:val="00E35243"/>
    <w:rsid w:val="00E3627D"/>
    <w:rsid w:val="00E36FC1"/>
    <w:rsid w:val="00E376DC"/>
    <w:rsid w:val="00E37C8C"/>
    <w:rsid w:val="00E40154"/>
    <w:rsid w:val="00E403CC"/>
    <w:rsid w:val="00E4050A"/>
    <w:rsid w:val="00E40DDC"/>
    <w:rsid w:val="00E414F4"/>
    <w:rsid w:val="00E41D24"/>
    <w:rsid w:val="00E41D6C"/>
    <w:rsid w:val="00E41FD0"/>
    <w:rsid w:val="00E42514"/>
    <w:rsid w:val="00E42794"/>
    <w:rsid w:val="00E436BA"/>
    <w:rsid w:val="00E43A6C"/>
    <w:rsid w:val="00E43ACB"/>
    <w:rsid w:val="00E43B2F"/>
    <w:rsid w:val="00E43E4E"/>
    <w:rsid w:val="00E43E67"/>
    <w:rsid w:val="00E440C0"/>
    <w:rsid w:val="00E4420A"/>
    <w:rsid w:val="00E446BC"/>
    <w:rsid w:val="00E446D2"/>
    <w:rsid w:val="00E44869"/>
    <w:rsid w:val="00E461FB"/>
    <w:rsid w:val="00E4641C"/>
    <w:rsid w:val="00E46DC4"/>
    <w:rsid w:val="00E4702A"/>
    <w:rsid w:val="00E47158"/>
    <w:rsid w:val="00E47B24"/>
    <w:rsid w:val="00E47B6A"/>
    <w:rsid w:val="00E47E6F"/>
    <w:rsid w:val="00E5008F"/>
    <w:rsid w:val="00E50552"/>
    <w:rsid w:val="00E50EAC"/>
    <w:rsid w:val="00E50F3E"/>
    <w:rsid w:val="00E513C5"/>
    <w:rsid w:val="00E529F2"/>
    <w:rsid w:val="00E53093"/>
    <w:rsid w:val="00E53C02"/>
    <w:rsid w:val="00E55135"/>
    <w:rsid w:val="00E5581A"/>
    <w:rsid w:val="00E55852"/>
    <w:rsid w:val="00E55D00"/>
    <w:rsid w:val="00E567A1"/>
    <w:rsid w:val="00E56961"/>
    <w:rsid w:val="00E56ADB"/>
    <w:rsid w:val="00E619AB"/>
    <w:rsid w:val="00E62BC0"/>
    <w:rsid w:val="00E62DD0"/>
    <w:rsid w:val="00E6367C"/>
    <w:rsid w:val="00E6477E"/>
    <w:rsid w:val="00E64AFB"/>
    <w:rsid w:val="00E64E91"/>
    <w:rsid w:val="00E65AEB"/>
    <w:rsid w:val="00E66395"/>
    <w:rsid w:val="00E67D23"/>
    <w:rsid w:val="00E70267"/>
    <w:rsid w:val="00E70FB7"/>
    <w:rsid w:val="00E71621"/>
    <w:rsid w:val="00E72EA8"/>
    <w:rsid w:val="00E7324D"/>
    <w:rsid w:val="00E73383"/>
    <w:rsid w:val="00E73C43"/>
    <w:rsid w:val="00E74212"/>
    <w:rsid w:val="00E746E5"/>
    <w:rsid w:val="00E755C1"/>
    <w:rsid w:val="00E75C42"/>
    <w:rsid w:val="00E75D0E"/>
    <w:rsid w:val="00E76033"/>
    <w:rsid w:val="00E76855"/>
    <w:rsid w:val="00E76B0E"/>
    <w:rsid w:val="00E76E7D"/>
    <w:rsid w:val="00E77A84"/>
    <w:rsid w:val="00E8025A"/>
    <w:rsid w:val="00E80CBB"/>
    <w:rsid w:val="00E817AB"/>
    <w:rsid w:val="00E81824"/>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1B83"/>
    <w:rsid w:val="00E929B0"/>
    <w:rsid w:val="00E92BB7"/>
    <w:rsid w:val="00E93DF7"/>
    <w:rsid w:val="00E94063"/>
    <w:rsid w:val="00E94170"/>
    <w:rsid w:val="00E945DE"/>
    <w:rsid w:val="00E95546"/>
    <w:rsid w:val="00E9563D"/>
    <w:rsid w:val="00E95C45"/>
    <w:rsid w:val="00E96905"/>
    <w:rsid w:val="00E97346"/>
    <w:rsid w:val="00E973BC"/>
    <w:rsid w:val="00EA0040"/>
    <w:rsid w:val="00EA01F9"/>
    <w:rsid w:val="00EA0872"/>
    <w:rsid w:val="00EA0CF5"/>
    <w:rsid w:val="00EA0F7C"/>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946"/>
    <w:rsid w:val="00EB6E04"/>
    <w:rsid w:val="00EB6EC3"/>
    <w:rsid w:val="00EB7043"/>
    <w:rsid w:val="00EB7167"/>
    <w:rsid w:val="00EB7971"/>
    <w:rsid w:val="00EC08B3"/>
    <w:rsid w:val="00EC137F"/>
    <w:rsid w:val="00EC3961"/>
    <w:rsid w:val="00EC3AF0"/>
    <w:rsid w:val="00EC4743"/>
    <w:rsid w:val="00EC4B57"/>
    <w:rsid w:val="00EC4B74"/>
    <w:rsid w:val="00EC7BE7"/>
    <w:rsid w:val="00ED0CCA"/>
    <w:rsid w:val="00ED17E7"/>
    <w:rsid w:val="00ED1A8E"/>
    <w:rsid w:val="00ED22D3"/>
    <w:rsid w:val="00ED252E"/>
    <w:rsid w:val="00ED29EE"/>
    <w:rsid w:val="00ED3065"/>
    <w:rsid w:val="00ED4926"/>
    <w:rsid w:val="00ED49BE"/>
    <w:rsid w:val="00ED4D17"/>
    <w:rsid w:val="00ED5150"/>
    <w:rsid w:val="00ED5BAF"/>
    <w:rsid w:val="00ED618D"/>
    <w:rsid w:val="00ED629E"/>
    <w:rsid w:val="00ED7BE5"/>
    <w:rsid w:val="00ED7EC1"/>
    <w:rsid w:val="00EE051F"/>
    <w:rsid w:val="00EE0A36"/>
    <w:rsid w:val="00EE0DAE"/>
    <w:rsid w:val="00EE1791"/>
    <w:rsid w:val="00EE3035"/>
    <w:rsid w:val="00EE3C24"/>
    <w:rsid w:val="00EE4BEB"/>
    <w:rsid w:val="00EE560E"/>
    <w:rsid w:val="00EE607F"/>
    <w:rsid w:val="00EE6251"/>
    <w:rsid w:val="00EE6455"/>
    <w:rsid w:val="00EE6D2A"/>
    <w:rsid w:val="00EE71EC"/>
    <w:rsid w:val="00EE7607"/>
    <w:rsid w:val="00EE7F2F"/>
    <w:rsid w:val="00EF04AD"/>
    <w:rsid w:val="00EF19A2"/>
    <w:rsid w:val="00EF2127"/>
    <w:rsid w:val="00EF2AA7"/>
    <w:rsid w:val="00EF3763"/>
    <w:rsid w:val="00EF4777"/>
    <w:rsid w:val="00EF4F39"/>
    <w:rsid w:val="00EF5D52"/>
    <w:rsid w:val="00EF6374"/>
    <w:rsid w:val="00EF66E4"/>
    <w:rsid w:val="00EF695E"/>
    <w:rsid w:val="00EF6E8E"/>
    <w:rsid w:val="00EF6EED"/>
    <w:rsid w:val="00F006EF"/>
    <w:rsid w:val="00F01B78"/>
    <w:rsid w:val="00F02029"/>
    <w:rsid w:val="00F02346"/>
    <w:rsid w:val="00F02ADA"/>
    <w:rsid w:val="00F0317F"/>
    <w:rsid w:val="00F03790"/>
    <w:rsid w:val="00F03AA6"/>
    <w:rsid w:val="00F03E3C"/>
    <w:rsid w:val="00F0416F"/>
    <w:rsid w:val="00F046A4"/>
    <w:rsid w:val="00F051F1"/>
    <w:rsid w:val="00F0604D"/>
    <w:rsid w:val="00F0646B"/>
    <w:rsid w:val="00F06BB1"/>
    <w:rsid w:val="00F0778F"/>
    <w:rsid w:val="00F1121D"/>
    <w:rsid w:val="00F1146C"/>
    <w:rsid w:val="00F11F74"/>
    <w:rsid w:val="00F12BDA"/>
    <w:rsid w:val="00F16BC6"/>
    <w:rsid w:val="00F16BC8"/>
    <w:rsid w:val="00F17717"/>
    <w:rsid w:val="00F20E9F"/>
    <w:rsid w:val="00F21535"/>
    <w:rsid w:val="00F21D12"/>
    <w:rsid w:val="00F22961"/>
    <w:rsid w:val="00F23D3C"/>
    <w:rsid w:val="00F25314"/>
    <w:rsid w:val="00F270A6"/>
    <w:rsid w:val="00F273D5"/>
    <w:rsid w:val="00F27DE7"/>
    <w:rsid w:val="00F27E5B"/>
    <w:rsid w:val="00F30343"/>
    <w:rsid w:val="00F307C1"/>
    <w:rsid w:val="00F3188C"/>
    <w:rsid w:val="00F32821"/>
    <w:rsid w:val="00F333C9"/>
    <w:rsid w:val="00F33694"/>
    <w:rsid w:val="00F33EA9"/>
    <w:rsid w:val="00F34BA2"/>
    <w:rsid w:val="00F34F8B"/>
    <w:rsid w:val="00F366F5"/>
    <w:rsid w:val="00F3792F"/>
    <w:rsid w:val="00F37FD9"/>
    <w:rsid w:val="00F412A5"/>
    <w:rsid w:val="00F42AFB"/>
    <w:rsid w:val="00F42BA8"/>
    <w:rsid w:val="00F454AD"/>
    <w:rsid w:val="00F459FB"/>
    <w:rsid w:val="00F466C8"/>
    <w:rsid w:val="00F4688C"/>
    <w:rsid w:val="00F46FFE"/>
    <w:rsid w:val="00F47AA7"/>
    <w:rsid w:val="00F50347"/>
    <w:rsid w:val="00F508C4"/>
    <w:rsid w:val="00F50B83"/>
    <w:rsid w:val="00F51C21"/>
    <w:rsid w:val="00F529F2"/>
    <w:rsid w:val="00F53B1A"/>
    <w:rsid w:val="00F53B37"/>
    <w:rsid w:val="00F53B9C"/>
    <w:rsid w:val="00F54629"/>
    <w:rsid w:val="00F54725"/>
    <w:rsid w:val="00F5478A"/>
    <w:rsid w:val="00F55222"/>
    <w:rsid w:val="00F552F8"/>
    <w:rsid w:val="00F55AE1"/>
    <w:rsid w:val="00F562EE"/>
    <w:rsid w:val="00F56889"/>
    <w:rsid w:val="00F56D90"/>
    <w:rsid w:val="00F5721B"/>
    <w:rsid w:val="00F5749B"/>
    <w:rsid w:val="00F57A03"/>
    <w:rsid w:val="00F611F6"/>
    <w:rsid w:val="00F619DC"/>
    <w:rsid w:val="00F61BFF"/>
    <w:rsid w:val="00F61E2B"/>
    <w:rsid w:val="00F62297"/>
    <w:rsid w:val="00F622F5"/>
    <w:rsid w:val="00F62304"/>
    <w:rsid w:val="00F62725"/>
    <w:rsid w:val="00F630B5"/>
    <w:rsid w:val="00F6473F"/>
    <w:rsid w:val="00F64918"/>
    <w:rsid w:val="00F656F4"/>
    <w:rsid w:val="00F66673"/>
    <w:rsid w:val="00F668EA"/>
    <w:rsid w:val="00F6716F"/>
    <w:rsid w:val="00F67409"/>
    <w:rsid w:val="00F7143C"/>
    <w:rsid w:val="00F71BE2"/>
    <w:rsid w:val="00F726DA"/>
    <w:rsid w:val="00F7287B"/>
    <w:rsid w:val="00F72C84"/>
    <w:rsid w:val="00F72FF6"/>
    <w:rsid w:val="00F739DE"/>
    <w:rsid w:val="00F73D2A"/>
    <w:rsid w:val="00F73FD0"/>
    <w:rsid w:val="00F7432C"/>
    <w:rsid w:val="00F74350"/>
    <w:rsid w:val="00F751F6"/>
    <w:rsid w:val="00F756C0"/>
    <w:rsid w:val="00F7777A"/>
    <w:rsid w:val="00F8019A"/>
    <w:rsid w:val="00F81556"/>
    <w:rsid w:val="00F8197B"/>
    <w:rsid w:val="00F81BA0"/>
    <w:rsid w:val="00F8221E"/>
    <w:rsid w:val="00F82C7B"/>
    <w:rsid w:val="00F82E4E"/>
    <w:rsid w:val="00F831ED"/>
    <w:rsid w:val="00F834CE"/>
    <w:rsid w:val="00F83D44"/>
    <w:rsid w:val="00F848EE"/>
    <w:rsid w:val="00F84FCD"/>
    <w:rsid w:val="00F85BEF"/>
    <w:rsid w:val="00F8613A"/>
    <w:rsid w:val="00F867F5"/>
    <w:rsid w:val="00F87F36"/>
    <w:rsid w:val="00F90577"/>
    <w:rsid w:val="00F909FA"/>
    <w:rsid w:val="00F90F2E"/>
    <w:rsid w:val="00F91152"/>
    <w:rsid w:val="00F91BDE"/>
    <w:rsid w:val="00F91E72"/>
    <w:rsid w:val="00F91E7E"/>
    <w:rsid w:val="00F931D3"/>
    <w:rsid w:val="00F93A3D"/>
    <w:rsid w:val="00F93E03"/>
    <w:rsid w:val="00F94284"/>
    <w:rsid w:val="00F9436B"/>
    <w:rsid w:val="00F94CF0"/>
    <w:rsid w:val="00F95775"/>
    <w:rsid w:val="00F958E4"/>
    <w:rsid w:val="00F95CEF"/>
    <w:rsid w:val="00F961B3"/>
    <w:rsid w:val="00F961E2"/>
    <w:rsid w:val="00F965DB"/>
    <w:rsid w:val="00F97137"/>
    <w:rsid w:val="00F976CB"/>
    <w:rsid w:val="00FA1A4D"/>
    <w:rsid w:val="00FA2C3E"/>
    <w:rsid w:val="00FA3129"/>
    <w:rsid w:val="00FA3914"/>
    <w:rsid w:val="00FA4046"/>
    <w:rsid w:val="00FA506A"/>
    <w:rsid w:val="00FA56B1"/>
    <w:rsid w:val="00FA59B5"/>
    <w:rsid w:val="00FA694A"/>
    <w:rsid w:val="00FA71B1"/>
    <w:rsid w:val="00FA7974"/>
    <w:rsid w:val="00FB132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C53"/>
    <w:rsid w:val="00FC1E5B"/>
    <w:rsid w:val="00FC3A06"/>
    <w:rsid w:val="00FC7072"/>
    <w:rsid w:val="00FC72CA"/>
    <w:rsid w:val="00FC751A"/>
    <w:rsid w:val="00FC7A3C"/>
    <w:rsid w:val="00FC7F67"/>
    <w:rsid w:val="00FC7F8D"/>
    <w:rsid w:val="00FD102F"/>
    <w:rsid w:val="00FD1E43"/>
    <w:rsid w:val="00FD20A7"/>
    <w:rsid w:val="00FD257C"/>
    <w:rsid w:val="00FD25DE"/>
    <w:rsid w:val="00FD266F"/>
    <w:rsid w:val="00FD3090"/>
    <w:rsid w:val="00FD3E47"/>
    <w:rsid w:val="00FD3F72"/>
    <w:rsid w:val="00FD6AFE"/>
    <w:rsid w:val="00FD6E46"/>
    <w:rsid w:val="00FD7AA9"/>
    <w:rsid w:val="00FE00A5"/>
    <w:rsid w:val="00FE0173"/>
    <w:rsid w:val="00FE02A9"/>
    <w:rsid w:val="00FE03B6"/>
    <w:rsid w:val="00FE0E99"/>
    <w:rsid w:val="00FE1359"/>
    <w:rsid w:val="00FE1B79"/>
    <w:rsid w:val="00FE2115"/>
    <w:rsid w:val="00FE2B28"/>
    <w:rsid w:val="00FE3F73"/>
    <w:rsid w:val="00FE46D5"/>
    <w:rsid w:val="00FE4846"/>
    <w:rsid w:val="00FE5738"/>
    <w:rsid w:val="00FE6B0C"/>
    <w:rsid w:val="00FE6BCE"/>
    <w:rsid w:val="00FE6D55"/>
    <w:rsid w:val="00FE7FC8"/>
    <w:rsid w:val="00FF0DA8"/>
    <w:rsid w:val="00FF0E18"/>
    <w:rsid w:val="00FF1902"/>
    <w:rsid w:val="00FF2624"/>
    <w:rsid w:val="00FF2A3C"/>
    <w:rsid w:val="00FF3DCF"/>
    <w:rsid w:val="00FF3E55"/>
    <w:rsid w:val="00FF3F88"/>
    <w:rsid w:val="00FF4B37"/>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6B1"/>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ind w:left="7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aliases w:val="header odd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lang w:eastAsia="en-US"/>
    </w:rPr>
  </w:style>
  <w:style w:type="character" w:customStyle="1" w:styleId="ListParagraphChar">
    <w:name w:val="List Paragraph Char"/>
    <w:aliases w:val="numbered Char,Paragraphe de liste1 Char,Bulletr List Paragraph Char,列出段落 Char,Bullet List Char,FooterText Char,List Paragraph1 Char,List Paragraph2 Char,List Paragraph21 Char,List Paragraph11 Char,Parágrafo da Lista1 Char,リスト段落1 Char"/>
    <w:link w:val="ListParagraph"/>
    <w:uiPriority w:val="34"/>
    <w:qFormat/>
    <w:locked/>
    <w:rPr>
      <w:rFonts w:ascii="Times New Roman" w:eastAsia="SimSun" w:hAnsi="Times New Roman" w:cs="Times New Roman"/>
      <w:lang w:val="zh-CN" w:eastAsia="zh-CN"/>
    </w:rPr>
  </w:style>
  <w:style w:type="paragraph" w:styleId="ListParagraph">
    <w:name w:val="List Paragraph"/>
    <w:aliases w:val="numbered,Paragraphe de liste1,Bulletr List Paragraph,列出段落,Bullet List,FooterText,List Paragraph1,List Paragraph2,List Paragraph21,List Paragraph11,Parágrafo da Lista1,Párrafo de lista1,リスト段落1,Listeafsnit1,Listenabsatz,リスト段落,Fo"/>
    <w:basedOn w:val="Normal"/>
    <w:link w:val="ListParagraphChar"/>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0">
    <w:name w:val="列出段落1"/>
    <w:basedOn w:val="Normal"/>
    <w:rsid w:val="009B44E6"/>
    <w:pPr>
      <w:overflowPunct/>
      <w:autoSpaceDE/>
      <w:autoSpaceDN/>
      <w:adjustRightInd/>
      <w:spacing w:before="100" w:beforeAutospacing="1"/>
      <w:ind w:left="720"/>
      <w:contextualSpacing/>
    </w:pPr>
    <w:rPr>
      <w:sz w:val="24"/>
      <w:szCs w:val="24"/>
      <w:lang w:eastAsia="zh-CN"/>
    </w:rPr>
  </w:style>
  <w:style w:type="paragraph" w:styleId="Revision">
    <w:name w:val="Revision"/>
    <w:hidden/>
    <w:uiPriority w:val="99"/>
    <w:semiHidden/>
    <w:rsid w:val="00BE7BA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8158">
      <w:bodyDiv w:val="1"/>
      <w:marLeft w:val="0"/>
      <w:marRight w:val="0"/>
      <w:marTop w:val="0"/>
      <w:marBottom w:val="0"/>
      <w:divBdr>
        <w:top w:val="none" w:sz="0" w:space="0" w:color="auto"/>
        <w:left w:val="none" w:sz="0" w:space="0" w:color="auto"/>
        <w:bottom w:val="none" w:sz="0" w:space="0" w:color="auto"/>
        <w:right w:val="none" w:sz="0" w:space="0" w:color="auto"/>
      </w:divBdr>
    </w:div>
    <w:div w:id="367678943">
      <w:bodyDiv w:val="1"/>
      <w:marLeft w:val="0"/>
      <w:marRight w:val="0"/>
      <w:marTop w:val="0"/>
      <w:marBottom w:val="0"/>
      <w:divBdr>
        <w:top w:val="none" w:sz="0" w:space="0" w:color="auto"/>
        <w:left w:val="none" w:sz="0" w:space="0" w:color="auto"/>
        <w:bottom w:val="none" w:sz="0" w:space="0" w:color="auto"/>
        <w:right w:val="none" w:sz="0" w:space="0" w:color="auto"/>
      </w:divBdr>
    </w:div>
    <w:div w:id="385225335">
      <w:bodyDiv w:val="1"/>
      <w:marLeft w:val="0"/>
      <w:marRight w:val="0"/>
      <w:marTop w:val="0"/>
      <w:marBottom w:val="0"/>
      <w:divBdr>
        <w:top w:val="none" w:sz="0" w:space="0" w:color="auto"/>
        <w:left w:val="none" w:sz="0" w:space="0" w:color="auto"/>
        <w:bottom w:val="none" w:sz="0" w:space="0" w:color="auto"/>
        <w:right w:val="none" w:sz="0" w:space="0" w:color="auto"/>
      </w:divBdr>
    </w:div>
    <w:div w:id="427626478">
      <w:bodyDiv w:val="1"/>
      <w:marLeft w:val="0"/>
      <w:marRight w:val="0"/>
      <w:marTop w:val="0"/>
      <w:marBottom w:val="0"/>
      <w:divBdr>
        <w:top w:val="none" w:sz="0" w:space="0" w:color="auto"/>
        <w:left w:val="none" w:sz="0" w:space="0" w:color="auto"/>
        <w:bottom w:val="none" w:sz="0" w:space="0" w:color="auto"/>
        <w:right w:val="none" w:sz="0" w:space="0" w:color="auto"/>
      </w:divBdr>
      <w:divsChild>
        <w:div w:id="403189761">
          <w:marLeft w:val="288"/>
          <w:marRight w:val="0"/>
          <w:marTop w:val="0"/>
          <w:marBottom w:val="120"/>
          <w:divBdr>
            <w:top w:val="none" w:sz="0" w:space="0" w:color="auto"/>
            <w:left w:val="none" w:sz="0" w:space="0" w:color="auto"/>
            <w:bottom w:val="none" w:sz="0" w:space="0" w:color="auto"/>
            <w:right w:val="none" w:sz="0" w:space="0" w:color="auto"/>
          </w:divBdr>
        </w:div>
      </w:divsChild>
    </w:div>
    <w:div w:id="456073627">
      <w:bodyDiv w:val="1"/>
      <w:marLeft w:val="0"/>
      <w:marRight w:val="0"/>
      <w:marTop w:val="0"/>
      <w:marBottom w:val="0"/>
      <w:divBdr>
        <w:top w:val="none" w:sz="0" w:space="0" w:color="auto"/>
        <w:left w:val="none" w:sz="0" w:space="0" w:color="auto"/>
        <w:bottom w:val="none" w:sz="0" w:space="0" w:color="auto"/>
        <w:right w:val="none" w:sz="0" w:space="0" w:color="auto"/>
      </w:divBdr>
    </w:div>
    <w:div w:id="461771138">
      <w:bodyDiv w:val="1"/>
      <w:marLeft w:val="0"/>
      <w:marRight w:val="0"/>
      <w:marTop w:val="0"/>
      <w:marBottom w:val="0"/>
      <w:divBdr>
        <w:top w:val="none" w:sz="0" w:space="0" w:color="auto"/>
        <w:left w:val="none" w:sz="0" w:space="0" w:color="auto"/>
        <w:bottom w:val="none" w:sz="0" w:space="0" w:color="auto"/>
        <w:right w:val="none" w:sz="0" w:space="0" w:color="auto"/>
      </w:divBdr>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86514253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1083264849">
      <w:bodyDiv w:val="1"/>
      <w:marLeft w:val="0"/>
      <w:marRight w:val="0"/>
      <w:marTop w:val="0"/>
      <w:marBottom w:val="0"/>
      <w:divBdr>
        <w:top w:val="none" w:sz="0" w:space="0" w:color="auto"/>
        <w:left w:val="none" w:sz="0" w:space="0" w:color="auto"/>
        <w:bottom w:val="none" w:sz="0" w:space="0" w:color="auto"/>
        <w:right w:val="none" w:sz="0" w:space="0" w:color="auto"/>
      </w:divBdr>
    </w:div>
    <w:div w:id="1191188712">
      <w:bodyDiv w:val="1"/>
      <w:marLeft w:val="0"/>
      <w:marRight w:val="0"/>
      <w:marTop w:val="0"/>
      <w:marBottom w:val="0"/>
      <w:divBdr>
        <w:top w:val="none" w:sz="0" w:space="0" w:color="auto"/>
        <w:left w:val="none" w:sz="0" w:space="0" w:color="auto"/>
        <w:bottom w:val="none" w:sz="0" w:space="0" w:color="auto"/>
        <w:right w:val="none" w:sz="0" w:space="0" w:color="auto"/>
      </w:divBdr>
    </w:div>
    <w:div w:id="1284919014">
      <w:bodyDiv w:val="1"/>
      <w:marLeft w:val="0"/>
      <w:marRight w:val="0"/>
      <w:marTop w:val="0"/>
      <w:marBottom w:val="0"/>
      <w:divBdr>
        <w:top w:val="none" w:sz="0" w:space="0" w:color="auto"/>
        <w:left w:val="none" w:sz="0" w:space="0" w:color="auto"/>
        <w:bottom w:val="none" w:sz="0" w:space="0" w:color="auto"/>
        <w:right w:val="none" w:sz="0" w:space="0" w:color="auto"/>
      </w:divBdr>
      <w:divsChild>
        <w:div w:id="905990425">
          <w:marLeft w:val="288"/>
          <w:marRight w:val="0"/>
          <w:marTop w:val="0"/>
          <w:marBottom w:val="120"/>
          <w:divBdr>
            <w:top w:val="none" w:sz="0" w:space="0" w:color="auto"/>
            <w:left w:val="none" w:sz="0" w:space="0" w:color="auto"/>
            <w:bottom w:val="none" w:sz="0" w:space="0" w:color="auto"/>
            <w:right w:val="none" w:sz="0" w:space="0" w:color="auto"/>
          </w:divBdr>
        </w:div>
      </w:divsChild>
    </w:div>
    <w:div w:id="1592156746">
      <w:bodyDiv w:val="1"/>
      <w:marLeft w:val="0"/>
      <w:marRight w:val="0"/>
      <w:marTop w:val="0"/>
      <w:marBottom w:val="0"/>
      <w:divBdr>
        <w:top w:val="none" w:sz="0" w:space="0" w:color="auto"/>
        <w:left w:val="none" w:sz="0" w:space="0" w:color="auto"/>
        <w:bottom w:val="none" w:sz="0" w:space="0" w:color="auto"/>
        <w:right w:val="none" w:sz="0" w:space="0" w:color="auto"/>
      </w:divBdr>
    </w:div>
    <w:div w:id="1946959427">
      <w:bodyDiv w:val="1"/>
      <w:marLeft w:val="0"/>
      <w:marRight w:val="0"/>
      <w:marTop w:val="0"/>
      <w:marBottom w:val="0"/>
      <w:divBdr>
        <w:top w:val="none" w:sz="0" w:space="0" w:color="auto"/>
        <w:left w:val="none" w:sz="0" w:space="0" w:color="auto"/>
        <w:bottom w:val="none" w:sz="0" w:space="0" w:color="auto"/>
        <w:right w:val="none" w:sz="0" w:space="0" w:color="auto"/>
      </w:divBdr>
    </w:div>
    <w:div w:id="2090075458">
      <w:bodyDiv w:val="1"/>
      <w:marLeft w:val="0"/>
      <w:marRight w:val="0"/>
      <w:marTop w:val="0"/>
      <w:marBottom w:val="0"/>
      <w:divBdr>
        <w:top w:val="none" w:sz="0" w:space="0" w:color="auto"/>
        <w:left w:val="none" w:sz="0" w:space="0" w:color="auto"/>
        <w:bottom w:val="none" w:sz="0" w:space="0" w:color="auto"/>
        <w:right w:val="none" w:sz="0" w:space="0" w:color="auto"/>
      </w:divBdr>
      <w:divsChild>
        <w:div w:id="526136961">
          <w:marLeft w:val="0"/>
          <w:marRight w:val="0"/>
          <w:marTop w:val="0"/>
          <w:marBottom w:val="0"/>
          <w:divBdr>
            <w:top w:val="none" w:sz="0" w:space="0" w:color="auto"/>
            <w:left w:val="none" w:sz="0" w:space="0" w:color="auto"/>
            <w:bottom w:val="none" w:sz="0" w:space="0" w:color="auto"/>
            <w:right w:val="none" w:sz="0" w:space="0" w:color="auto"/>
          </w:divBdr>
        </w:div>
      </w:divsChild>
    </w:div>
    <w:div w:id="211874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7CE598-5F20-44D8-860C-F41896090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1167</Words>
  <Characters>6653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 HiSilicon</cp:lastModifiedBy>
  <cp:revision>37</cp:revision>
  <dcterms:created xsi:type="dcterms:W3CDTF">2023-08-02T10:34:00Z</dcterms:created>
  <dcterms:modified xsi:type="dcterms:W3CDTF">2023-08-10T13:52:00Z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(3)Rsy7Am2h1QyfcD9seClaZqeDzyHxvJM85tVTldCvvXWjGwKbYgryWtQx+VtcOoBFqeMfDeTU
+kXdUGubgrCgK1xB4k8ONNmMMknPlXNpr6tHHhALAWxYKsV60cc9zvxwarBa136MFIC2fzU2
1LVHJhtncT3eRCbFHyczzYbT18Wg5HG/7J3FGUpGJzxS6tkg/zCr5Q6zPCTmb9aHcFYAgkpB
r8j3KUM2K7pqsuMt7g</vt:lpwstr>
  </property>
  <property fmtid="{D5CDD505-2E9C-101B-9397-08002B2CF9AE}" pid="7" name="_2015_ms_pID_7253431">
    <vt:lpwstr>H/8bRBadDGcSDKwBJb8m8tCpNvgPm69SdpCp+8hK8gCLXrYDU62i2V
r6glkkzLiAx/mFa2OHEBXzkMpckWasi3jCH0m+dhDVsnT1QKCET8l/nHlyBtn4N0opYe1UdN
8OSW0cNuGL3K2+wvYWKCAhvPvQ4YG08zPfrD4mx2DYUj4mBYhedw3kEAltV1G+Frak/gxhSA
MglyYi+3uxHS6Rc4yy44YNF4sKunrSqwLREP</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lQ==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1680181668</vt:lpwstr>
  </property>
</Properties>
</file>